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34" w:rsidRPr="00A37378" w:rsidRDefault="00E958BB" w:rsidP="00742134">
      <w:pPr>
        <w:spacing w:line="276" w:lineRule="auto"/>
        <w:jc w:val="center"/>
        <w:rPr>
          <w:rFonts w:ascii="Sylfaen" w:hAnsi="Sylfaen"/>
          <w:b/>
          <w:szCs w:val="20"/>
        </w:rPr>
      </w:pPr>
      <w:r w:rsidRPr="00A37378">
        <w:rPr>
          <w:rFonts w:ascii="Sylfaen" w:hAnsi="Sylfaen"/>
          <w:b/>
          <w:szCs w:val="20"/>
          <w:lang w:val="ka-GE"/>
        </w:rPr>
        <w:t>ინფორმაცია</w:t>
      </w:r>
    </w:p>
    <w:p w:rsidR="00742134" w:rsidRPr="00A37378" w:rsidRDefault="00742134" w:rsidP="00A37378">
      <w:pPr>
        <w:jc w:val="center"/>
        <w:rPr>
          <w:rFonts w:ascii="Sylfaen" w:hAnsi="Sylfaen"/>
          <w:b/>
          <w:szCs w:val="20"/>
          <w:lang w:val="ka-GE"/>
        </w:rPr>
      </w:pPr>
      <w:r w:rsidRPr="00A37378">
        <w:rPr>
          <w:rFonts w:ascii="Sylfaen" w:hAnsi="Sylfaen"/>
          <w:b/>
          <w:szCs w:val="20"/>
        </w:rPr>
        <w:t>„სახელმწიფო აუდიტის სამსახურის მიერ საქართველოს 2021 წლის სახელმწიფო ბიუჯეტის შესრულების წლიური ანგარიშის შესახებ მომზადებულ მოხსენებაში წარმოდგენილი შენიშვნებისა და რეკომენდაციების საბიუჯეტო პროცესში გათვალისწინების შესაძლებლობის თაობაზე“ საქართველოს მთავრობის სამოქმედო გეგმის განსაზღვრის შესახებ" საქართველოს მთავრობის 2022 წლის 10 ოქტომბრის N1842 განკარგულები</w:t>
      </w:r>
      <w:r w:rsidRPr="00A37378">
        <w:rPr>
          <w:rFonts w:ascii="Sylfaen" w:hAnsi="Sylfaen"/>
          <w:b/>
          <w:szCs w:val="20"/>
          <w:lang w:val="ka-GE"/>
        </w:rPr>
        <w:t>თ განსაზღვრული საქართველოს მთავრობის სამოქმედო გეგმის შესრულების შესახებ</w:t>
      </w:r>
    </w:p>
    <w:p w:rsidR="002D2744" w:rsidRPr="00742134" w:rsidRDefault="002D2744" w:rsidP="001A09ED">
      <w:pPr>
        <w:spacing w:after="0" w:line="276" w:lineRule="auto"/>
        <w:jc w:val="both"/>
        <w:rPr>
          <w:rFonts w:ascii="Sylfaen" w:hAnsi="Sylfaen"/>
          <w:b/>
          <w:sz w:val="20"/>
          <w:szCs w:val="20"/>
          <w:lang w:val="ka-GE"/>
        </w:rPr>
      </w:pPr>
    </w:p>
    <w:tbl>
      <w:tblPr>
        <w:tblStyle w:val="TableGrid"/>
        <w:tblW w:w="14504" w:type="dxa"/>
        <w:tblInd w:w="-545" w:type="dxa"/>
        <w:tblLayout w:type="fixed"/>
        <w:tblLook w:val="04A0" w:firstRow="1" w:lastRow="0" w:firstColumn="1" w:lastColumn="0" w:noHBand="0" w:noVBand="1"/>
      </w:tblPr>
      <w:tblGrid>
        <w:gridCol w:w="450"/>
        <w:gridCol w:w="3780"/>
        <w:gridCol w:w="1260"/>
        <w:gridCol w:w="1530"/>
        <w:gridCol w:w="2700"/>
        <w:gridCol w:w="4764"/>
        <w:gridCol w:w="20"/>
      </w:tblGrid>
      <w:tr w:rsidR="00F44287" w:rsidRPr="00742134" w:rsidTr="00E97A04">
        <w:trPr>
          <w:gridAfter w:val="1"/>
          <w:wAfter w:w="20" w:type="dxa"/>
          <w:trHeight w:val="113"/>
          <w:tblHeader/>
        </w:trPr>
        <w:tc>
          <w:tcPr>
            <w:tcW w:w="450" w:type="dxa"/>
            <w:shd w:val="clear" w:color="auto" w:fill="E4D2F2"/>
          </w:tcPr>
          <w:p w:rsidR="00F44287" w:rsidRPr="00742134" w:rsidRDefault="00F44287" w:rsidP="00450A25">
            <w:pPr>
              <w:jc w:val="center"/>
              <w:rPr>
                <w:rFonts w:ascii="Sylfaen" w:hAnsi="Sylfaen"/>
                <w:b/>
                <w:sz w:val="20"/>
                <w:szCs w:val="20"/>
                <w:lang w:val="ka-GE"/>
              </w:rPr>
            </w:pPr>
          </w:p>
        </w:tc>
        <w:tc>
          <w:tcPr>
            <w:tcW w:w="3780" w:type="dxa"/>
            <w:shd w:val="clear" w:color="auto" w:fill="E4D2F2"/>
            <w:vAlign w:val="center"/>
          </w:tcPr>
          <w:p w:rsidR="00F44287" w:rsidRPr="00742134" w:rsidRDefault="00F44287" w:rsidP="00450A25">
            <w:pPr>
              <w:jc w:val="center"/>
              <w:rPr>
                <w:rFonts w:ascii="Sylfaen" w:hAnsi="Sylfaen"/>
                <w:b/>
                <w:sz w:val="20"/>
                <w:szCs w:val="20"/>
                <w:lang w:val="ka-GE"/>
              </w:rPr>
            </w:pPr>
            <w:r w:rsidRPr="00742134">
              <w:rPr>
                <w:rFonts w:ascii="Sylfaen" w:hAnsi="Sylfaen"/>
                <w:b/>
                <w:sz w:val="20"/>
                <w:szCs w:val="20"/>
                <w:lang w:val="ka-GE"/>
              </w:rPr>
              <w:t>რეკომენდაცია</w:t>
            </w:r>
          </w:p>
        </w:tc>
        <w:tc>
          <w:tcPr>
            <w:tcW w:w="1260" w:type="dxa"/>
            <w:shd w:val="clear" w:color="auto" w:fill="E4D2F2"/>
            <w:vAlign w:val="center"/>
          </w:tcPr>
          <w:p w:rsidR="00F44287" w:rsidRPr="00742134" w:rsidRDefault="00F44287" w:rsidP="00450A25">
            <w:pPr>
              <w:jc w:val="center"/>
              <w:rPr>
                <w:rFonts w:ascii="Sylfaen" w:hAnsi="Sylfaen"/>
                <w:b/>
                <w:sz w:val="20"/>
                <w:szCs w:val="20"/>
                <w:lang w:val="ka-GE"/>
              </w:rPr>
            </w:pPr>
            <w:r w:rsidRPr="00742134">
              <w:rPr>
                <w:rFonts w:ascii="Sylfaen" w:hAnsi="Sylfaen"/>
                <w:b/>
                <w:sz w:val="20"/>
                <w:szCs w:val="20"/>
                <w:lang w:val="ka-GE"/>
              </w:rPr>
              <w:t>განხორციელების ვადები</w:t>
            </w:r>
          </w:p>
        </w:tc>
        <w:tc>
          <w:tcPr>
            <w:tcW w:w="1530" w:type="dxa"/>
            <w:shd w:val="clear" w:color="auto" w:fill="E4D2F2"/>
            <w:vAlign w:val="center"/>
          </w:tcPr>
          <w:p w:rsidR="00F44287" w:rsidRPr="00742134" w:rsidRDefault="00F44287" w:rsidP="00450A25">
            <w:pPr>
              <w:jc w:val="center"/>
              <w:rPr>
                <w:rFonts w:ascii="Sylfaen" w:hAnsi="Sylfaen"/>
                <w:b/>
                <w:sz w:val="20"/>
                <w:szCs w:val="20"/>
                <w:lang w:val="ka-GE"/>
              </w:rPr>
            </w:pPr>
            <w:r w:rsidRPr="00742134">
              <w:rPr>
                <w:rFonts w:ascii="Sylfaen" w:hAnsi="Sylfaen"/>
                <w:b/>
                <w:sz w:val="20"/>
                <w:szCs w:val="20"/>
                <w:lang w:val="ka-GE"/>
              </w:rPr>
              <w:t>პასუხისმგებელი უწყება</w:t>
            </w:r>
          </w:p>
        </w:tc>
        <w:tc>
          <w:tcPr>
            <w:tcW w:w="2700" w:type="dxa"/>
            <w:shd w:val="clear" w:color="auto" w:fill="E4D2F2"/>
            <w:vAlign w:val="center"/>
          </w:tcPr>
          <w:p w:rsidR="00F44287" w:rsidRPr="00742134" w:rsidRDefault="00F44287" w:rsidP="00450A25">
            <w:pPr>
              <w:jc w:val="center"/>
              <w:rPr>
                <w:rFonts w:ascii="Sylfaen" w:hAnsi="Sylfaen"/>
                <w:b/>
                <w:sz w:val="20"/>
                <w:szCs w:val="20"/>
                <w:lang w:val="ka-GE"/>
              </w:rPr>
            </w:pPr>
            <w:r w:rsidRPr="00742134">
              <w:rPr>
                <w:rFonts w:ascii="Sylfaen" w:hAnsi="Sylfaen"/>
                <w:b/>
                <w:sz w:val="20"/>
                <w:szCs w:val="20"/>
                <w:lang w:val="ka-GE"/>
              </w:rPr>
              <w:t>ინდიკატორი</w:t>
            </w:r>
          </w:p>
        </w:tc>
        <w:tc>
          <w:tcPr>
            <w:tcW w:w="4764" w:type="dxa"/>
            <w:shd w:val="clear" w:color="auto" w:fill="E4D2F2"/>
            <w:vAlign w:val="center"/>
          </w:tcPr>
          <w:p w:rsidR="00F44287" w:rsidRPr="00742134" w:rsidRDefault="00F44287" w:rsidP="00450A25">
            <w:pPr>
              <w:jc w:val="center"/>
              <w:rPr>
                <w:rFonts w:ascii="Sylfaen" w:hAnsi="Sylfaen"/>
                <w:b/>
                <w:sz w:val="20"/>
                <w:szCs w:val="20"/>
                <w:lang w:val="ka-GE"/>
              </w:rPr>
            </w:pPr>
            <w:r w:rsidRPr="00742134">
              <w:rPr>
                <w:rFonts w:ascii="Sylfaen" w:hAnsi="Sylfaen"/>
                <w:b/>
                <w:sz w:val="20"/>
                <w:szCs w:val="20"/>
                <w:lang w:val="ka-GE"/>
              </w:rPr>
              <w:t>რეკომენდაციის გათვალისწინების შესაძლებლობა</w:t>
            </w:r>
          </w:p>
        </w:tc>
      </w:tr>
      <w:tr w:rsidR="00F44287" w:rsidRPr="00742134" w:rsidTr="00E97A04">
        <w:trPr>
          <w:trHeight w:val="368"/>
        </w:trPr>
        <w:tc>
          <w:tcPr>
            <w:tcW w:w="450" w:type="dxa"/>
          </w:tcPr>
          <w:p w:rsidR="00F44287" w:rsidRPr="00742134" w:rsidRDefault="00F44287" w:rsidP="00EB5DD6">
            <w:pPr>
              <w:pStyle w:val="Heading2"/>
              <w:outlineLvl w:val="1"/>
              <w:rPr>
                <w:rFonts w:ascii="Sylfaen" w:eastAsiaTheme="minorHAnsi" w:hAnsi="Sylfaen" w:cstheme="minorBidi"/>
                <w:b/>
                <w:color w:val="auto"/>
                <w:sz w:val="20"/>
                <w:szCs w:val="20"/>
                <w:lang w:val="ka-GE"/>
              </w:rPr>
            </w:pPr>
          </w:p>
        </w:tc>
        <w:tc>
          <w:tcPr>
            <w:tcW w:w="14054" w:type="dxa"/>
            <w:gridSpan w:val="6"/>
          </w:tcPr>
          <w:p w:rsidR="00F44287" w:rsidRPr="00742134" w:rsidRDefault="00F44287" w:rsidP="00EB5DD6">
            <w:pPr>
              <w:pStyle w:val="Heading2"/>
              <w:outlineLvl w:val="1"/>
              <w:rPr>
                <w:rFonts w:ascii="Sylfaen" w:hAnsi="Sylfaen"/>
                <w:color w:val="auto"/>
                <w:sz w:val="20"/>
                <w:szCs w:val="20"/>
              </w:rPr>
            </w:pPr>
            <w:r w:rsidRPr="00742134">
              <w:rPr>
                <w:rFonts w:ascii="Sylfaen" w:eastAsiaTheme="minorHAnsi" w:hAnsi="Sylfaen" w:cstheme="minorBidi"/>
                <w:b/>
                <w:color w:val="auto"/>
                <w:sz w:val="20"/>
                <w:szCs w:val="20"/>
                <w:lang w:val="ka-GE"/>
              </w:rPr>
              <w:t>საქართველოს ფინანსთა სამინისტროს</w:t>
            </w:r>
          </w:p>
        </w:tc>
      </w:tr>
      <w:tr w:rsidR="00F44287" w:rsidRPr="00742134" w:rsidTr="00E97A04">
        <w:trPr>
          <w:gridAfter w:val="1"/>
          <w:wAfter w:w="20" w:type="dxa"/>
          <w:trHeight w:val="113"/>
        </w:trPr>
        <w:tc>
          <w:tcPr>
            <w:tcW w:w="450" w:type="dxa"/>
          </w:tcPr>
          <w:p w:rsidR="00F44287" w:rsidRPr="00742134" w:rsidRDefault="00F44287" w:rsidP="00742134">
            <w:pPr>
              <w:jc w:val="both"/>
              <w:rPr>
                <w:rFonts w:ascii="Sylfaen" w:hAnsi="Sylfaen" w:cs="Sylfaen"/>
                <w:sz w:val="20"/>
                <w:szCs w:val="20"/>
                <w:lang w:val="ka-GE"/>
              </w:rPr>
            </w:pPr>
            <w:r>
              <w:rPr>
                <w:rFonts w:ascii="Sylfaen" w:hAnsi="Sylfaen" w:cs="Sylfaen"/>
                <w:sz w:val="20"/>
                <w:szCs w:val="20"/>
                <w:lang w:val="ka-GE"/>
              </w:rPr>
              <w:t>1</w:t>
            </w:r>
          </w:p>
        </w:tc>
        <w:tc>
          <w:tcPr>
            <w:tcW w:w="3780" w:type="dxa"/>
          </w:tcPr>
          <w:p w:rsidR="00F44287" w:rsidRPr="00742134" w:rsidRDefault="00F44287" w:rsidP="00742134">
            <w:pPr>
              <w:jc w:val="both"/>
              <w:rPr>
                <w:rFonts w:ascii="Sylfaen" w:hAnsi="Sylfaen" w:cs="Sylfaen"/>
                <w:sz w:val="20"/>
                <w:szCs w:val="20"/>
                <w:lang w:val="ka-GE"/>
              </w:rPr>
            </w:pPr>
            <w:r w:rsidRPr="00742134">
              <w:rPr>
                <w:rFonts w:ascii="Sylfaen" w:hAnsi="Sylfaen" w:cs="Sylfaen"/>
                <w:sz w:val="20"/>
                <w:szCs w:val="20"/>
                <w:lang w:val="ka-GE"/>
              </w:rPr>
              <w:t>მიზანშეწონილია, სახელმწიფო ბიუჯეტის კანონზე თანდართულ „ფისკალური რისკების ანალიზის დოკუმენტში“ წარმოდგენილი იქნეს ინფორმაცია სახელმწიფოს მიმართ არსებული სამართლებრივი დავებიდან მომდინარე რისკებისა და ფისკალურ პარამეტრებზე მათი</w:t>
            </w:r>
          </w:p>
          <w:p w:rsidR="00F44287" w:rsidRPr="00742134" w:rsidRDefault="00F44287" w:rsidP="00742134">
            <w:pPr>
              <w:jc w:val="both"/>
              <w:rPr>
                <w:rFonts w:ascii="Sylfaen" w:hAnsi="Sylfaen" w:cs="Sylfaen"/>
                <w:sz w:val="20"/>
                <w:szCs w:val="20"/>
                <w:lang w:val="ka-GE"/>
              </w:rPr>
            </w:pPr>
            <w:r w:rsidRPr="00742134">
              <w:rPr>
                <w:rFonts w:ascii="Sylfaen" w:hAnsi="Sylfaen" w:cs="Sylfaen"/>
                <w:sz w:val="20"/>
                <w:szCs w:val="20"/>
                <w:lang w:val="ka-GE"/>
              </w:rPr>
              <w:t>პოტენციური გავლენის შესახებ.</w:t>
            </w:r>
          </w:p>
        </w:tc>
        <w:tc>
          <w:tcPr>
            <w:tcW w:w="1260" w:type="dxa"/>
            <w:vAlign w:val="center"/>
          </w:tcPr>
          <w:p w:rsidR="00F44287" w:rsidRPr="00742134" w:rsidRDefault="00F44287" w:rsidP="00742134">
            <w:pPr>
              <w:jc w:val="center"/>
              <w:rPr>
                <w:rFonts w:ascii="Sylfaen" w:hAnsi="Sylfaen"/>
                <w:noProof/>
                <w:sz w:val="20"/>
                <w:szCs w:val="20"/>
                <w:lang w:val="ka-GE"/>
              </w:rPr>
            </w:pPr>
            <w:r w:rsidRPr="00742134">
              <w:rPr>
                <w:rFonts w:ascii="Sylfaen" w:hAnsi="Sylfaen"/>
                <w:sz w:val="20"/>
                <w:szCs w:val="20"/>
                <w:lang w:val="ka-GE"/>
              </w:rPr>
              <w:t>2022 წელი</w:t>
            </w:r>
          </w:p>
        </w:tc>
        <w:tc>
          <w:tcPr>
            <w:tcW w:w="1530" w:type="dxa"/>
            <w:vAlign w:val="center"/>
          </w:tcPr>
          <w:p w:rsidR="00F44287" w:rsidRPr="00742134" w:rsidRDefault="00F44287" w:rsidP="00450A25">
            <w:pPr>
              <w:jc w:val="center"/>
              <w:rPr>
                <w:rFonts w:ascii="Sylfaen" w:hAnsi="Sylfaen"/>
                <w:noProof/>
                <w:sz w:val="20"/>
                <w:szCs w:val="20"/>
                <w:lang w:val="ka-GE"/>
              </w:rPr>
            </w:pPr>
            <w:r w:rsidRPr="00742134">
              <w:rPr>
                <w:rFonts w:ascii="Sylfaen" w:hAnsi="Sylfaen" w:cs="Sylfaen"/>
                <w:sz w:val="20"/>
                <w:szCs w:val="20"/>
                <w:lang w:val="ka-GE"/>
              </w:rPr>
              <w:t>საქართველოს ფინანსთა სამინისტრო</w:t>
            </w:r>
          </w:p>
        </w:tc>
        <w:tc>
          <w:tcPr>
            <w:tcW w:w="2700" w:type="dxa"/>
            <w:vAlign w:val="center"/>
          </w:tcPr>
          <w:p w:rsidR="00F44287" w:rsidRPr="00FA7B83" w:rsidRDefault="00F44287" w:rsidP="00A37378">
            <w:pPr>
              <w:jc w:val="both"/>
              <w:rPr>
                <w:rFonts w:ascii="Sylfaen" w:hAnsi="Sylfaen" w:cs="Sylfaen"/>
                <w:sz w:val="20"/>
                <w:szCs w:val="20"/>
                <w:lang w:val="ka-GE"/>
              </w:rPr>
            </w:pPr>
            <w:r w:rsidRPr="00742134">
              <w:rPr>
                <w:rFonts w:ascii="Sylfaen" w:hAnsi="Sylfaen" w:cs="Sylfaen"/>
                <w:sz w:val="20"/>
                <w:szCs w:val="20"/>
                <w:lang w:val="ka-GE"/>
              </w:rPr>
              <w:t>2023 წლის სახელმწიფო ბიუჯეტი - ფისკალური რისკების ანალიზის დოკუმენტი, რომელიც გამოქვეყნებულია</w:t>
            </w:r>
            <w:r>
              <w:rPr>
                <w:rFonts w:ascii="Sylfaen" w:hAnsi="Sylfaen" w:cs="Sylfaen"/>
                <w:sz w:val="20"/>
                <w:szCs w:val="20"/>
                <w:lang w:val="ka-GE"/>
              </w:rPr>
              <w:t xml:space="preserve"> </w:t>
            </w:r>
            <w:r w:rsidRPr="00742134">
              <w:rPr>
                <w:rFonts w:ascii="Sylfaen" w:hAnsi="Sylfaen" w:cs="Sylfaen"/>
                <w:sz w:val="20"/>
                <w:szCs w:val="20"/>
                <w:lang w:val="ka-GE"/>
              </w:rPr>
              <w:t>საქართველოს ფინანსთა სამინ</w:t>
            </w:r>
            <w:r w:rsidRPr="00FA7B83">
              <w:rPr>
                <w:rFonts w:ascii="Sylfaen" w:hAnsi="Sylfaen" w:cs="Sylfaen"/>
                <w:sz w:val="20"/>
                <w:szCs w:val="20"/>
                <w:lang w:val="ka-GE"/>
              </w:rPr>
              <w:t>ისტროს ვებგვერდზე.</w:t>
            </w:r>
            <w:r w:rsidR="00165243" w:rsidRPr="00FA7B83">
              <w:rPr>
                <w:rFonts w:ascii="Sylfaen" w:hAnsi="Sylfaen" w:cs="Sylfaen"/>
                <w:sz w:val="20"/>
                <w:szCs w:val="20"/>
                <w:lang w:val="ka-GE"/>
              </w:rPr>
              <w:t xml:space="preserve"> https://mof.ge/5603</w:t>
            </w:r>
          </w:p>
          <w:p w:rsidR="00F44287" w:rsidRPr="00742134" w:rsidRDefault="00FC1156" w:rsidP="00A37378">
            <w:pPr>
              <w:jc w:val="both"/>
              <w:rPr>
                <w:rFonts w:ascii="Sylfaen" w:hAnsi="Sylfaen"/>
                <w:noProof/>
                <w:sz w:val="20"/>
                <w:szCs w:val="20"/>
                <w:lang w:val="ka-GE"/>
              </w:rPr>
            </w:pPr>
            <w:hyperlink r:id="rId8" w:history="1">
              <w:r w:rsidR="00F44287" w:rsidRPr="00FA7B83">
                <w:rPr>
                  <w:rStyle w:val="Hyperlink"/>
                  <w:rFonts w:ascii="Sylfaen" w:hAnsi="Sylfaen"/>
                  <w:noProof/>
                  <w:sz w:val="20"/>
                  <w:szCs w:val="20"/>
                  <w:lang w:val="ka-GE"/>
                </w:rPr>
                <w:t>https://mof.ge/images/File/2023-Biujeti/23-12-2022/danartebi/17.FRS_2022_29.11.2022.docx</w:t>
              </w:r>
            </w:hyperlink>
          </w:p>
        </w:tc>
        <w:tc>
          <w:tcPr>
            <w:tcW w:w="4764" w:type="dxa"/>
            <w:vAlign w:val="center"/>
          </w:tcPr>
          <w:p w:rsidR="00F44287" w:rsidRDefault="00165243" w:rsidP="00A37378">
            <w:pPr>
              <w:jc w:val="both"/>
              <w:rPr>
                <w:rFonts w:ascii="Sylfaen" w:hAnsi="Sylfaen" w:cs="Sylfaen"/>
                <w:sz w:val="20"/>
                <w:szCs w:val="20"/>
                <w:lang w:val="ka-GE"/>
              </w:rPr>
            </w:pPr>
            <w:r>
              <w:rPr>
                <w:rFonts w:ascii="Sylfaen" w:hAnsi="Sylfaen" w:cs="Sylfaen"/>
                <w:sz w:val="20"/>
                <w:szCs w:val="20"/>
                <w:lang w:val="ka-GE"/>
              </w:rPr>
              <w:t>შესრულებულია</w:t>
            </w:r>
          </w:p>
          <w:p w:rsidR="00F44287" w:rsidRDefault="00F44287" w:rsidP="00A37378">
            <w:pPr>
              <w:jc w:val="both"/>
              <w:rPr>
                <w:rFonts w:ascii="Sylfaen" w:hAnsi="Sylfaen" w:cs="Sylfaen"/>
                <w:sz w:val="20"/>
                <w:szCs w:val="20"/>
                <w:lang w:val="ka-GE"/>
              </w:rPr>
            </w:pPr>
          </w:p>
          <w:p w:rsidR="00F44287" w:rsidRPr="00742134" w:rsidRDefault="00F44287" w:rsidP="00A37378">
            <w:pPr>
              <w:jc w:val="both"/>
              <w:rPr>
                <w:rFonts w:ascii="Sylfaen" w:hAnsi="Sylfaen"/>
                <w:noProof/>
                <w:sz w:val="20"/>
                <w:szCs w:val="20"/>
                <w:lang w:val="ka-GE"/>
              </w:rPr>
            </w:pPr>
            <w:bookmarkStart w:id="0" w:name="_GoBack"/>
            <w:bookmarkEnd w:id="0"/>
          </w:p>
        </w:tc>
      </w:tr>
      <w:tr w:rsidR="00F44287" w:rsidRPr="00742134" w:rsidTr="00E97A04">
        <w:trPr>
          <w:gridAfter w:val="1"/>
          <w:wAfter w:w="20" w:type="dxa"/>
          <w:trHeight w:val="113"/>
        </w:trPr>
        <w:tc>
          <w:tcPr>
            <w:tcW w:w="450" w:type="dxa"/>
          </w:tcPr>
          <w:p w:rsidR="00F44287" w:rsidRPr="00F44287" w:rsidRDefault="00F44287" w:rsidP="00DD157F">
            <w:pPr>
              <w:jc w:val="both"/>
              <w:rPr>
                <w:rFonts w:ascii="Sylfaen" w:hAnsi="Sylfaen" w:cs="Sylfaen"/>
                <w:sz w:val="20"/>
                <w:szCs w:val="20"/>
                <w:lang w:val="ka-GE"/>
              </w:rPr>
            </w:pPr>
            <w:r>
              <w:rPr>
                <w:rFonts w:ascii="Sylfaen" w:hAnsi="Sylfaen" w:cs="Sylfaen"/>
                <w:sz w:val="20"/>
                <w:szCs w:val="20"/>
                <w:lang w:val="ka-GE"/>
              </w:rPr>
              <w:t>2</w:t>
            </w:r>
          </w:p>
        </w:tc>
        <w:tc>
          <w:tcPr>
            <w:tcW w:w="3780" w:type="dxa"/>
          </w:tcPr>
          <w:p w:rsidR="00F44287" w:rsidRPr="00742134" w:rsidRDefault="00F44287" w:rsidP="00DD157F">
            <w:pPr>
              <w:jc w:val="both"/>
              <w:rPr>
                <w:rFonts w:ascii="Sylfaen" w:hAnsi="Sylfaen" w:cs="Sylfaen"/>
                <w:sz w:val="20"/>
                <w:szCs w:val="20"/>
              </w:rPr>
            </w:pPr>
            <w:r w:rsidRPr="00742134">
              <w:rPr>
                <w:rFonts w:ascii="Sylfaen" w:hAnsi="Sylfaen" w:cs="Sylfaen"/>
                <w:sz w:val="20"/>
                <w:szCs w:val="20"/>
              </w:rPr>
              <w:t>მიზანშეწონილია, კაპიტალური პროექტების შესრულების მდგომარეობის შესახებ მეთოდოლოგიით განსაზღვრული პერიოდული ანგარიშების მომზადება და მათი წარმოდგენა სახელმწიფო ბიუჯეტის შესრულების კვარტალურ ანგარიშებთან ერთად.</w:t>
            </w:r>
          </w:p>
        </w:tc>
        <w:tc>
          <w:tcPr>
            <w:tcW w:w="1260" w:type="dxa"/>
            <w:vAlign w:val="center"/>
          </w:tcPr>
          <w:p w:rsidR="00F44287" w:rsidRPr="00742134" w:rsidRDefault="00F44287" w:rsidP="00742134">
            <w:pPr>
              <w:jc w:val="center"/>
              <w:rPr>
                <w:rFonts w:ascii="Sylfaen" w:hAnsi="Sylfaen"/>
                <w:sz w:val="20"/>
                <w:szCs w:val="20"/>
                <w:lang w:val="ka-GE"/>
              </w:rPr>
            </w:pPr>
            <w:r w:rsidRPr="00742134">
              <w:rPr>
                <w:rFonts w:ascii="Sylfaen" w:hAnsi="Sylfaen"/>
                <w:sz w:val="20"/>
                <w:szCs w:val="20"/>
              </w:rPr>
              <w:t xml:space="preserve">2022-2025 </w:t>
            </w:r>
            <w:r w:rsidRPr="00742134">
              <w:rPr>
                <w:rFonts w:ascii="Sylfaen" w:hAnsi="Sylfaen"/>
                <w:sz w:val="20"/>
                <w:szCs w:val="20"/>
                <w:lang w:val="ka-GE"/>
              </w:rPr>
              <w:t>წწ.</w:t>
            </w:r>
          </w:p>
        </w:tc>
        <w:tc>
          <w:tcPr>
            <w:tcW w:w="1530" w:type="dxa"/>
            <w:vAlign w:val="center"/>
          </w:tcPr>
          <w:p w:rsidR="00F44287" w:rsidRPr="00742134" w:rsidRDefault="00F44287" w:rsidP="00450A25">
            <w:pPr>
              <w:jc w:val="center"/>
              <w:rPr>
                <w:rFonts w:ascii="Sylfaen" w:hAnsi="Sylfaen"/>
                <w:sz w:val="20"/>
                <w:szCs w:val="20"/>
                <w:lang w:val="ka-GE"/>
              </w:rPr>
            </w:pPr>
            <w:r w:rsidRPr="00742134">
              <w:rPr>
                <w:rFonts w:ascii="Sylfaen" w:hAnsi="Sylfaen" w:cs="Sylfaen"/>
                <w:sz w:val="20"/>
                <w:szCs w:val="20"/>
                <w:lang w:val="ka-GE"/>
              </w:rPr>
              <w:t>საქართველოს ფინანსთა სამინისტრო</w:t>
            </w:r>
          </w:p>
        </w:tc>
        <w:tc>
          <w:tcPr>
            <w:tcW w:w="2700" w:type="dxa"/>
            <w:vAlign w:val="center"/>
          </w:tcPr>
          <w:p w:rsidR="00F44287" w:rsidRPr="00742134" w:rsidRDefault="00F44287" w:rsidP="00A37378">
            <w:pPr>
              <w:jc w:val="both"/>
              <w:rPr>
                <w:rFonts w:ascii="Sylfaen" w:hAnsi="Sylfaen"/>
                <w:sz w:val="20"/>
                <w:szCs w:val="20"/>
                <w:lang w:val="ka-GE"/>
              </w:rPr>
            </w:pPr>
            <w:r w:rsidRPr="00742134">
              <w:rPr>
                <w:rFonts w:ascii="Sylfaen" w:hAnsi="Sylfaen"/>
                <w:sz w:val="20"/>
                <w:szCs w:val="20"/>
                <w:lang w:val="ka-GE"/>
              </w:rPr>
              <w:t>შესაბამისი წლის სახელმწიფო ბიუჯეტი და შესრულების ანგარიშები, რომელიც</w:t>
            </w:r>
            <w:r>
              <w:rPr>
                <w:rFonts w:ascii="Sylfaen" w:hAnsi="Sylfaen"/>
                <w:sz w:val="20"/>
                <w:szCs w:val="20"/>
                <w:lang w:val="ka-GE"/>
              </w:rPr>
              <w:t xml:space="preserve"> </w:t>
            </w:r>
            <w:r w:rsidRPr="00742134">
              <w:rPr>
                <w:rFonts w:ascii="Sylfaen" w:hAnsi="Sylfaen"/>
                <w:sz w:val="20"/>
                <w:szCs w:val="20"/>
                <w:lang w:val="ka-GE"/>
              </w:rPr>
              <w:t>გამოქვეყნებულია საქართველოს ფინანსთა სამინისტროს ვებგვერდზე.</w:t>
            </w:r>
          </w:p>
        </w:tc>
        <w:tc>
          <w:tcPr>
            <w:tcW w:w="4764" w:type="dxa"/>
          </w:tcPr>
          <w:p w:rsidR="00F44287" w:rsidRPr="00A37378" w:rsidRDefault="00F44287" w:rsidP="00742134">
            <w:pPr>
              <w:jc w:val="both"/>
              <w:rPr>
                <w:rFonts w:ascii="Sylfaen" w:hAnsi="Sylfaen"/>
                <w:sz w:val="20"/>
                <w:szCs w:val="20"/>
                <w:lang w:val="ka-GE"/>
              </w:rPr>
            </w:pPr>
            <w:r w:rsidRPr="00A37378">
              <w:rPr>
                <w:rFonts w:ascii="Sylfaen" w:hAnsi="Sylfaen"/>
                <w:sz w:val="20"/>
                <w:szCs w:val="20"/>
                <w:lang w:val="ka-GE"/>
              </w:rPr>
              <w:t xml:space="preserve">მსოფლიო ბანკთან და ევროკავშირთან თანამშრომლობის ფარგლებში 2016 წლიდან მიმდინარეობს საინვესტიციო პროექტების მართვის რეფორმა. შემუშავებულია საინვესტიციო პროექტების მართვის გზამკვლევი და მეთოდოლოგია, 2017 წლიდან უცხოელი ექსპერტების მიერ ტარდება ტრენინგები და სამუშაო შეხვედრები.  2022 წელს ტექნიკური დახმარების პროექტის ფარგლებში, უცხოელი ექსპერტების მიერ ჩატარდა ტრენინგები მხარჯავი დაწესებულებების წარმომადგენლებისთვის, ასევე, დამატებით სამუშაო შეხვედრები კონკრეტული საინვესტიციო პროექტების განსახილველად  ინიციატორ უწყებებთან, მათთვის შესაბამისი რეკომენდაციების გაცემის და პროექტების კონცეფციის ბარათების და გაანგარიშებების დახვეწის მიზნით. </w:t>
            </w:r>
          </w:p>
          <w:p w:rsidR="00F44287" w:rsidRPr="00902447" w:rsidRDefault="00F44287" w:rsidP="00742134">
            <w:pPr>
              <w:jc w:val="both"/>
              <w:rPr>
                <w:rFonts w:ascii="Sylfaen" w:hAnsi="Sylfaen"/>
                <w:sz w:val="20"/>
                <w:szCs w:val="20"/>
                <w:lang w:val="ka-GE"/>
              </w:rPr>
            </w:pPr>
            <w:r w:rsidRPr="00A37378">
              <w:rPr>
                <w:rFonts w:ascii="Sylfaen" w:hAnsi="Sylfaen"/>
                <w:sz w:val="20"/>
                <w:szCs w:val="20"/>
                <w:lang w:val="ka-GE"/>
              </w:rPr>
              <w:lastRenderedPageBreak/>
              <w:t xml:space="preserve">გარდა ამისა, საერთაშორისო სავალუტო ფონდის (IMF) ტექნიკური დახმარების ფარგლებში მზადდება </w:t>
            </w:r>
            <w:r w:rsidRPr="00902447">
              <w:rPr>
                <w:rFonts w:ascii="Sylfaen" w:hAnsi="Sylfaen"/>
                <w:sz w:val="20"/>
                <w:szCs w:val="20"/>
                <w:lang w:val="ka-GE"/>
              </w:rPr>
              <w:t>საინვესტიციო  პროექტების მართვის შეფასება</w:t>
            </w:r>
            <w:r w:rsidR="00835FD6" w:rsidRPr="00902447">
              <w:rPr>
                <w:rFonts w:ascii="Sylfaen" w:hAnsi="Sylfaen"/>
                <w:sz w:val="20"/>
                <w:szCs w:val="20"/>
                <w:lang w:val="ka-GE"/>
              </w:rPr>
              <w:t xml:space="preserve"> - PIMA.</w:t>
            </w:r>
          </w:p>
          <w:p w:rsidR="00F44287" w:rsidRPr="00A37378" w:rsidRDefault="00835FD6" w:rsidP="00835FD6">
            <w:pPr>
              <w:jc w:val="both"/>
              <w:rPr>
                <w:rFonts w:ascii="Sylfaen" w:hAnsi="Sylfaen"/>
                <w:sz w:val="20"/>
                <w:szCs w:val="20"/>
                <w:lang w:val="ka-GE"/>
              </w:rPr>
            </w:pPr>
            <w:r w:rsidRPr="00902447">
              <w:rPr>
                <w:rFonts w:ascii="Sylfaen" w:hAnsi="Sylfaen"/>
                <w:sz w:val="20"/>
                <w:szCs w:val="20"/>
                <w:lang w:val="ka-GE"/>
              </w:rPr>
              <w:t>აღნიშნული შეფასების, საერთაშორისო გამოცდილებისა და არსებული პრაქტიკის</w:t>
            </w:r>
            <w:r w:rsidR="00F44287" w:rsidRPr="00902447">
              <w:rPr>
                <w:rFonts w:ascii="Sylfaen" w:hAnsi="Sylfaen"/>
                <w:sz w:val="20"/>
                <w:szCs w:val="20"/>
                <w:lang w:val="ka-GE"/>
              </w:rPr>
              <w:t xml:space="preserve"> </w:t>
            </w:r>
            <w:r w:rsidRPr="00902447">
              <w:rPr>
                <w:rFonts w:ascii="Sylfaen" w:hAnsi="Sylfaen"/>
                <w:sz w:val="20"/>
                <w:szCs w:val="20"/>
                <w:lang w:val="ka-GE"/>
              </w:rPr>
              <w:t xml:space="preserve">გათვალისწინებით </w:t>
            </w:r>
            <w:r w:rsidR="00F44287" w:rsidRPr="00902447">
              <w:rPr>
                <w:rFonts w:ascii="Sylfaen" w:hAnsi="Sylfaen"/>
                <w:sz w:val="20"/>
                <w:szCs w:val="20"/>
                <w:lang w:val="ka-GE"/>
              </w:rPr>
              <w:t>დამტკიცდა საინვესტიციო</w:t>
            </w:r>
            <w:r w:rsidRPr="00902447">
              <w:rPr>
                <w:rFonts w:ascii="Sylfaen" w:hAnsi="Sylfaen"/>
                <w:sz w:val="20"/>
                <w:szCs w:val="20"/>
                <w:lang w:val="ka-GE"/>
              </w:rPr>
              <w:t>/კაპიტალური</w:t>
            </w:r>
            <w:r w:rsidR="00F44287" w:rsidRPr="00902447">
              <w:rPr>
                <w:rFonts w:ascii="Sylfaen" w:hAnsi="Sylfaen"/>
                <w:sz w:val="20"/>
                <w:szCs w:val="20"/>
                <w:lang w:val="ka-GE"/>
              </w:rPr>
              <w:t xml:space="preserve"> პროექტების მართვის მეთოდოლოგია (საქართველოს მთავრობის 16 თებერვლის N65 დადგენილება), რომლითაც დადგინდა შესაბამისი კატეგორიის პროექტისთვის წარმოსადგენი ინფორმაციის ნუსხა, საინვესტიციო/კაპიტალური პროექტების მართვის სასიცოცხლო ციკლის შესაბამის ეტაპზე. დაკორექტირდა პროექტის კონცეფციის ბარათი, არსებული პრაქტიკის და საერთაშორისო გამოცდილების გათვალისწინებით, მათ შორის აისახა კლიმატის ცვლილებასთან დაკავშირებული</w:t>
            </w:r>
            <w:r w:rsidR="00FA7B83" w:rsidRPr="00902447">
              <w:rPr>
                <w:rFonts w:ascii="Sylfaen" w:hAnsi="Sylfaen"/>
                <w:sz w:val="20"/>
                <w:szCs w:val="20"/>
                <w:lang w:val="ka-GE"/>
              </w:rPr>
              <w:t xml:space="preserve"> </w:t>
            </w:r>
            <w:r w:rsidR="00F44287" w:rsidRPr="00902447">
              <w:rPr>
                <w:rFonts w:ascii="Sylfaen" w:hAnsi="Sylfaen"/>
                <w:sz w:val="20"/>
                <w:szCs w:val="20"/>
                <w:lang w:val="ka-GE"/>
              </w:rPr>
              <w:t>და გენდერული საკითხები.</w:t>
            </w:r>
            <w:r w:rsidRPr="00902447">
              <w:rPr>
                <w:rFonts w:ascii="Sylfaen" w:hAnsi="Sylfaen"/>
                <w:sz w:val="20"/>
                <w:szCs w:val="20"/>
                <w:lang w:val="ka-GE"/>
              </w:rPr>
              <w:t xml:space="preserve"> მეთოდოლოგიით მიხედვით დაინერგება შესრულების ანგარიშების</w:t>
            </w:r>
            <w:r>
              <w:rPr>
                <w:rFonts w:ascii="Sylfaen" w:hAnsi="Sylfaen"/>
                <w:sz w:val="20"/>
                <w:szCs w:val="20"/>
                <w:lang w:val="ka-GE"/>
              </w:rPr>
              <w:t xml:space="preserve"> მომზადების მექანიზმები</w:t>
            </w:r>
            <w:r w:rsidR="00902447">
              <w:rPr>
                <w:rFonts w:ascii="Sylfaen" w:hAnsi="Sylfaen"/>
                <w:sz w:val="20"/>
                <w:szCs w:val="20"/>
                <w:lang w:val="ka-GE"/>
              </w:rPr>
              <w:t xml:space="preserve"> და ეტაპობრივად გამოქვეყნდება შესაბამისი ინფორმაცია.</w:t>
            </w:r>
          </w:p>
        </w:tc>
      </w:tr>
      <w:tr w:rsidR="00F44287" w:rsidRPr="00742134" w:rsidTr="00E97A04">
        <w:trPr>
          <w:gridAfter w:val="1"/>
          <w:wAfter w:w="20" w:type="dxa"/>
          <w:trHeight w:val="113"/>
        </w:trPr>
        <w:tc>
          <w:tcPr>
            <w:tcW w:w="450" w:type="dxa"/>
          </w:tcPr>
          <w:p w:rsidR="00F44287" w:rsidRPr="00742134" w:rsidRDefault="00D632BD" w:rsidP="00742134">
            <w:pPr>
              <w:jc w:val="both"/>
              <w:rPr>
                <w:rFonts w:ascii="Sylfaen" w:hAnsi="Sylfaen" w:cs="Sylfaen"/>
                <w:sz w:val="20"/>
                <w:szCs w:val="20"/>
              </w:rPr>
            </w:pPr>
            <w:r>
              <w:rPr>
                <w:rFonts w:ascii="Sylfaen" w:hAnsi="Sylfaen" w:cs="Sylfaen"/>
                <w:sz w:val="20"/>
                <w:szCs w:val="20"/>
              </w:rPr>
              <w:lastRenderedPageBreak/>
              <w:t>3</w:t>
            </w:r>
          </w:p>
        </w:tc>
        <w:tc>
          <w:tcPr>
            <w:tcW w:w="3780" w:type="dxa"/>
          </w:tcPr>
          <w:p w:rsidR="00F44287" w:rsidRPr="00742134" w:rsidRDefault="00F44287" w:rsidP="00742134">
            <w:pPr>
              <w:jc w:val="both"/>
              <w:rPr>
                <w:rFonts w:ascii="Sylfaen" w:hAnsi="Sylfaen" w:cs="Sylfaen"/>
                <w:sz w:val="20"/>
                <w:szCs w:val="20"/>
              </w:rPr>
            </w:pPr>
            <w:r w:rsidRPr="00742134">
              <w:rPr>
                <w:rFonts w:ascii="Sylfaen" w:hAnsi="Sylfaen" w:cs="Sylfaen"/>
                <w:sz w:val="20"/>
                <w:szCs w:val="20"/>
              </w:rPr>
              <w:t>მნიშვნელოვანია, ფინანსთა სამინისტრომ შეიმუშაოს საგარეო საკრედიტო წყაროებიდან</w:t>
            </w:r>
            <w:r w:rsidRPr="00742134">
              <w:rPr>
                <w:rFonts w:ascii="Sylfaen" w:hAnsi="Sylfaen" w:cs="Sylfaen"/>
                <w:sz w:val="20"/>
                <w:szCs w:val="20"/>
                <w:lang w:val="ka-GE"/>
              </w:rPr>
              <w:t xml:space="preserve"> </w:t>
            </w:r>
            <w:r w:rsidRPr="00742134">
              <w:rPr>
                <w:rFonts w:ascii="Sylfaen" w:hAnsi="Sylfaen" w:cs="Sylfaen"/>
                <w:sz w:val="20"/>
                <w:szCs w:val="20"/>
              </w:rPr>
              <w:t>მობილიზებული რესურსის გადასესხების პოლიტიკა/პოლიტიკის დოკუმენტი, რომელშიც</w:t>
            </w:r>
            <w:r w:rsidRPr="00742134">
              <w:rPr>
                <w:rFonts w:ascii="Sylfaen" w:hAnsi="Sylfaen" w:cs="Sylfaen"/>
                <w:sz w:val="20"/>
                <w:szCs w:val="20"/>
                <w:lang w:val="ka-GE"/>
              </w:rPr>
              <w:t xml:space="preserve"> </w:t>
            </w:r>
            <w:r w:rsidRPr="00742134">
              <w:rPr>
                <w:rFonts w:ascii="Sylfaen" w:hAnsi="Sylfaen" w:cs="Sylfaen"/>
                <w:sz w:val="20"/>
                <w:szCs w:val="20"/>
              </w:rPr>
              <w:t>აისახება გადასესხების პროცესის სრული ციკლი და შესაბამისად, უზრუნველყოფს გამჭვირვალე და ერთგვაროვანი მიდგომის ჩამოყალიბებას აღნიშნული პროცესის თითოეული ეტაპისთვის.</w:t>
            </w:r>
          </w:p>
        </w:tc>
        <w:tc>
          <w:tcPr>
            <w:tcW w:w="1260" w:type="dxa"/>
            <w:vAlign w:val="center"/>
          </w:tcPr>
          <w:p w:rsidR="00F44287" w:rsidRPr="00742134" w:rsidRDefault="00F44287" w:rsidP="00742134">
            <w:pPr>
              <w:jc w:val="center"/>
              <w:rPr>
                <w:rFonts w:ascii="Sylfaen" w:hAnsi="Sylfaen"/>
                <w:sz w:val="20"/>
                <w:szCs w:val="20"/>
                <w:lang w:val="ka-GE"/>
              </w:rPr>
            </w:pPr>
          </w:p>
        </w:tc>
        <w:tc>
          <w:tcPr>
            <w:tcW w:w="1530" w:type="dxa"/>
            <w:vAlign w:val="center"/>
          </w:tcPr>
          <w:p w:rsidR="00F44287" w:rsidRPr="00742134" w:rsidRDefault="00F44287" w:rsidP="00742134">
            <w:pPr>
              <w:jc w:val="center"/>
              <w:rPr>
                <w:rFonts w:ascii="Sylfaen" w:hAnsi="Sylfaen"/>
                <w:sz w:val="20"/>
                <w:szCs w:val="20"/>
                <w:lang w:val="ka-GE"/>
              </w:rPr>
            </w:pPr>
            <w:r w:rsidRPr="00742134">
              <w:rPr>
                <w:rFonts w:ascii="Sylfaen" w:hAnsi="Sylfaen" w:cs="Sylfaen"/>
                <w:sz w:val="20"/>
                <w:szCs w:val="20"/>
                <w:lang w:val="ka-GE"/>
              </w:rPr>
              <w:t>საქართველოს ფინანსთა სამინისტრო</w:t>
            </w:r>
          </w:p>
        </w:tc>
        <w:tc>
          <w:tcPr>
            <w:tcW w:w="2700" w:type="dxa"/>
          </w:tcPr>
          <w:p w:rsidR="00F44287" w:rsidRPr="00742134" w:rsidRDefault="00F44287" w:rsidP="00742134">
            <w:pPr>
              <w:jc w:val="both"/>
              <w:rPr>
                <w:rFonts w:ascii="Sylfaen" w:hAnsi="Sylfaen"/>
                <w:sz w:val="20"/>
                <w:szCs w:val="20"/>
                <w:lang w:val="ka-GE"/>
              </w:rPr>
            </w:pPr>
          </w:p>
        </w:tc>
        <w:tc>
          <w:tcPr>
            <w:tcW w:w="4764" w:type="dxa"/>
          </w:tcPr>
          <w:p w:rsidR="00F44287" w:rsidRPr="00742134" w:rsidRDefault="00F44287" w:rsidP="00586FBD">
            <w:pPr>
              <w:pStyle w:val="ListParagraph"/>
              <w:tabs>
                <w:tab w:val="left" w:pos="810"/>
              </w:tabs>
              <w:spacing w:after="0" w:line="240" w:lineRule="auto"/>
              <w:ind w:left="0" w:hanging="68"/>
              <w:mirrorIndents/>
              <w:jc w:val="both"/>
              <w:rPr>
                <w:rFonts w:ascii="Sylfaen" w:hAnsi="Sylfaen"/>
                <w:sz w:val="20"/>
                <w:szCs w:val="20"/>
                <w:lang w:val="ka-GE"/>
              </w:rPr>
            </w:pPr>
            <w:r w:rsidRPr="00742134">
              <w:rPr>
                <w:rFonts w:ascii="Sylfaen" w:hAnsi="Sylfaen"/>
                <w:sz w:val="20"/>
                <w:szCs w:val="20"/>
                <w:lang w:val="ka-GE"/>
              </w:rPr>
              <w:t xml:space="preserve"> ამ ეტაპზე საგარეო წყაროებიდან სესხის აღება და შემდეგ მისი გადასესხებაზე გადაწყვეტილება წარმოადგენს დონორთან სასესხო ხელშეკრულების შეთანხმების ნაწილს და აღნიშნული პრაქტიკა თანხვედრაშია  „საქართველოს სახელმწიფო, ავტონომიური რესპუბლიკის რესპუბლიკური და ადგილობრივი თვითმმართველი ერთეულის ბიუჯეტიდან მეწარმე იურიდიული პირების დაფინანსების წესისა და პრინციპების განსაზღვრის შესახებ“ 2017 წლის 28 დეკემბრის საქართველოს მთავრობის N2737 განკარგულებასთან. აღნიშნული განკარგულება ასევე განსაზღვრავს </w:t>
            </w:r>
            <w:r w:rsidRPr="00742134">
              <w:rPr>
                <w:rFonts w:ascii="Sylfaen" w:hAnsi="Sylfaen"/>
                <w:sz w:val="20"/>
                <w:szCs w:val="20"/>
                <w:lang w:val="ka-GE"/>
              </w:rPr>
              <w:lastRenderedPageBreak/>
              <w:t>ზოგად წესს სახელმწიფო საწარმოებზე საბიუჯეტო სახსრების გადასესხებასთან მიმართებაში (გადასესხება შეზღუდულია ბიუჯეტიდან დაფინანსებაზე საოპერაციო ხარჯების 50%-ზე მეტი ოდენობით და ასევე თუ ბოლო 3 წლიდან 2 წელს მაინც ფიქსირდება ზარალი).</w:t>
            </w:r>
          </w:p>
          <w:p w:rsidR="00F44287" w:rsidRPr="00742134" w:rsidRDefault="00F44287" w:rsidP="00586FBD">
            <w:pPr>
              <w:jc w:val="both"/>
              <w:rPr>
                <w:rFonts w:ascii="Sylfaen" w:hAnsi="Sylfaen"/>
                <w:sz w:val="20"/>
                <w:szCs w:val="20"/>
                <w:lang w:val="ka-GE"/>
              </w:rPr>
            </w:pPr>
            <w:r w:rsidRPr="00742134">
              <w:rPr>
                <w:rFonts w:ascii="Sylfaen" w:hAnsi="Sylfaen"/>
                <w:sz w:val="20"/>
                <w:szCs w:val="20"/>
                <w:lang w:val="ka-GE"/>
              </w:rPr>
              <w:t xml:space="preserve">პარალელურად მიმდინარეობს სახელმწიფო საწარმოების რეფორმა. ეტაპობრივად, რეფორმის დასრულების შემდეგ, უფრო დაიხვეწება და გამჭვირვალე გახდება გადასესხების პროცესიც და შესაბამისად შესაძლებელია აქტუალური გახდეს გადასესხების პოლიტიკის დოკუმენტის შექმნის საკითხი. </w:t>
            </w:r>
          </w:p>
          <w:p w:rsidR="00F44287" w:rsidRPr="00742134" w:rsidRDefault="00F44287" w:rsidP="00586FBD">
            <w:pPr>
              <w:jc w:val="both"/>
              <w:rPr>
                <w:rFonts w:ascii="Sylfaen" w:hAnsi="Sylfaen"/>
                <w:color w:val="FF0000"/>
                <w:sz w:val="20"/>
                <w:szCs w:val="20"/>
                <w:lang w:val="ka-GE"/>
              </w:rPr>
            </w:pPr>
            <w:r w:rsidRPr="00742134">
              <w:rPr>
                <w:rFonts w:ascii="Sylfaen" w:hAnsi="Sylfaen"/>
                <w:sz w:val="20"/>
                <w:szCs w:val="20"/>
                <w:lang w:val="ka-GE"/>
              </w:rPr>
              <w:t>ამასთან, მთავრობის ვალის მართვის სტრატეგიაში (2022-2025 წწ) ასახულია თუ რა შემთხვევაში და როგორ უნდა განხორციელდეს სახელმწიფო საწარმოებზე გადასესხების პროცესი.</w:t>
            </w:r>
          </w:p>
        </w:tc>
      </w:tr>
      <w:tr w:rsidR="00F44287" w:rsidRPr="00742134" w:rsidTr="00E97A04">
        <w:trPr>
          <w:gridAfter w:val="1"/>
          <w:wAfter w:w="20" w:type="dxa"/>
          <w:trHeight w:val="113"/>
        </w:trPr>
        <w:tc>
          <w:tcPr>
            <w:tcW w:w="450" w:type="dxa"/>
          </w:tcPr>
          <w:p w:rsidR="00F44287" w:rsidRPr="00742134" w:rsidRDefault="00D632BD" w:rsidP="00742134">
            <w:pPr>
              <w:jc w:val="both"/>
              <w:rPr>
                <w:rFonts w:ascii="Sylfaen" w:hAnsi="Sylfaen" w:cs="Sylfaen"/>
                <w:sz w:val="20"/>
                <w:szCs w:val="20"/>
              </w:rPr>
            </w:pPr>
            <w:r>
              <w:rPr>
                <w:rFonts w:ascii="Sylfaen" w:hAnsi="Sylfaen" w:cs="Sylfaen"/>
                <w:sz w:val="20"/>
                <w:szCs w:val="20"/>
              </w:rPr>
              <w:lastRenderedPageBreak/>
              <w:t>4</w:t>
            </w:r>
          </w:p>
        </w:tc>
        <w:tc>
          <w:tcPr>
            <w:tcW w:w="3780" w:type="dxa"/>
          </w:tcPr>
          <w:p w:rsidR="00F44287" w:rsidRPr="00742134" w:rsidRDefault="00F44287" w:rsidP="00742134">
            <w:pPr>
              <w:jc w:val="both"/>
              <w:rPr>
                <w:rFonts w:ascii="Sylfaen" w:hAnsi="Sylfaen" w:cs="Sylfaen"/>
                <w:sz w:val="20"/>
                <w:szCs w:val="20"/>
              </w:rPr>
            </w:pPr>
            <w:r w:rsidRPr="00742134">
              <w:rPr>
                <w:rFonts w:ascii="Sylfaen" w:hAnsi="Sylfaen" w:cs="Sylfaen"/>
                <w:sz w:val="20"/>
                <w:szCs w:val="20"/>
              </w:rPr>
              <w:t>მიზანშეწონილია, ფინანსთა სამინისტრომ შეიმუშაოს მიდგომა და სახელმწიფო ბიუჯეტის</w:t>
            </w:r>
            <w:r w:rsidRPr="00742134">
              <w:rPr>
                <w:rFonts w:ascii="Sylfaen" w:hAnsi="Sylfaen" w:cs="Sylfaen"/>
                <w:sz w:val="20"/>
                <w:szCs w:val="20"/>
                <w:lang w:val="ka-GE"/>
              </w:rPr>
              <w:t xml:space="preserve"> </w:t>
            </w:r>
            <w:r w:rsidRPr="00742134">
              <w:rPr>
                <w:rFonts w:ascii="Sylfaen" w:hAnsi="Sylfaen" w:cs="Sylfaen"/>
                <w:sz w:val="20"/>
                <w:szCs w:val="20"/>
              </w:rPr>
              <w:t>შესრულების წლიურ ანგარიშში წარმოადგინოს დეტალური ინფორმაცია:</w:t>
            </w:r>
          </w:p>
          <w:p w:rsidR="00F44287" w:rsidRPr="00742134" w:rsidRDefault="00F44287" w:rsidP="00742134">
            <w:pPr>
              <w:pStyle w:val="ListParagraph"/>
              <w:numPr>
                <w:ilvl w:val="0"/>
                <w:numId w:val="39"/>
              </w:numPr>
              <w:spacing w:after="0" w:line="240" w:lineRule="auto"/>
              <w:ind w:left="345"/>
              <w:jc w:val="both"/>
              <w:rPr>
                <w:rFonts w:ascii="Sylfaen" w:hAnsi="Sylfaen" w:cs="Sylfaen"/>
                <w:sz w:val="20"/>
                <w:szCs w:val="20"/>
              </w:rPr>
            </w:pPr>
            <w:r w:rsidRPr="00742134">
              <w:rPr>
                <w:rFonts w:ascii="Sylfaen" w:hAnsi="Sylfaen" w:cs="Sylfaen"/>
                <w:sz w:val="20"/>
                <w:szCs w:val="20"/>
              </w:rPr>
              <w:t>საგარეო საკრედიტო რესურსის ხარჯზე გაცემული სესხების პორტფელის მდგომარეობის შესახებ;</w:t>
            </w:r>
          </w:p>
          <w:p w:rsidR="00F44287" w:rsidRPr="00742134" w:rsidRDefault="00F44287" w:rsidP="00742134">
            <w:pPr>
              <w:pStyle w:val="ListParagraph"/>
              <w:numPr>
                <w:ilvl w:val="0"/>
                <w:numId w:val="39"/>
              </w:numPr>
              <w:spacing w:after="0" w:line="240" w:lineRule="auto"/>
              <w:ind w:left="345"/>
              <w:jc w:val="both"/>
              <w:rPr>
                <w:rFonts w:ascii="Sylfaen" w:hAnsi="Sylfaen" w:cs="Sylfaen"/>
                <w:sz w:val="20"/>
                <w:szCs w:val="20"/>
              </w:rPr>
            </w:pPr>
            <w:r w:rsidRPr="00045774">
              <w:rPr>
                <w:rFonts w:ascii="Sylfaen" w:hAnsi="Sylfaen" w:cs="Sylfaen"/>
                <w:sz w:val="20"/>
                <w:szCs w:val="20"/>
              </w:rPr>
              <w:t>წლის განმავლობაში სახელმწიფო ბიუჯეტიდან სახელმწიფო საწარმოებზე მიმართული დაფინანსების მოცულობისა და მიზნობრიობის შესახებ.</w:t>
            </w:r>
          </w:p>
        </w:tc>
        <w:tc>
          <w:tcPr>
            <w:tcW w:w="1260" w:type="dxa"/>
            <w:vAlign w:val="center"/>
          </w:tcPr>
          <w:p w:rsidR="00F44287" w:rsidRPr="00742134" w:rsidRDefault="00F44287" w:rsidP="00742134">
            <w:pPr>
              <w:jc w:val="center"/>
              <w:rPr>
                <w:rFonts w:ascii="Sylfaen" w:hAnsi="Sylfaen"/>
                <w:sz w:val="20"/>
                <w:szCs w:val="20"/>
                <w:lang w:val="ka-GE"/>
              </w:rPr>
            </w:pPr>
            <w:r w:rsidRPr="00742134">
              <w:rPr>
                <w:rFonts w:ascii="Sylfaen" w:hAnsi="Sylfaen"/>
                <w:sz w:val="20"/>
                <w:szCs w:val="20"/>
                <w:lang w:val="ka-GE"/>
              </w:rPr>
              <w:t>2023 წელი</w:t>
            </w:r>
          </w:p>
        </w:tc>
        <w:tc>
          <w:tcPr>
            <w:tcW w:w="1530" w:type="dxa"/>
            <w:vAlign w:val="center"/>
          </w:tcPr>
          <w:p w:rsidR="00F44287" w:rsidRPr="00742134" w:rsidRDefault="00F44287" w:rsidP="00742134">
            <w:pPr>
              <w:jc w:val="center"/>
              <w:rPr>
                <w:rFonts w:ascii="Sylfaen" w:hAnsi="Sylfaen"/>
                <w:sz w:val="20"/>
                <w:szCs w:val="20"/>
                <w:lang w:val="ka-GE"/>
              </w:rPr>
            </w:pPr>
            <w:r w:rsidRPr="00742134">
              <w:rPr>
                <w:rFonts w:ascii="Sylfaen" w:hAnsi="Sylfaen" w:cs="Sylfaen"/>
                <w:sz w:val="20"/>
                <w:szCs w:val="20"/>
                <w:lang w:val="ka-GE"/>
              </w:rPr>
              <w:t>საქართველოს ფინანსთა სამინისტრო</w:t>
            </w:r>
          </w:p>
        </w:tc>
        <w:tc>
          <w:tcPr>
            <w:tcW w:w="2700" w:type="dxa"/>
            <w:vAlign w:val="center"/>
          </w:tcPr>
          <w:p w:rsidR="00F44287" w:rsidRPr="004425B3" w:rsidRDefault="00F44287" w:rsidP="004425B3">
            <w:pPr>
              <w:jc w:val="both"/>
              <w:rPr>
                <w:rFonts w:ascii="Sylfaen" w:hAnsi="Sylfaen"/>
                <w:sz w:val="20"/>
                <w:szCs w:val="20"/>
                <w:highlight w:val="yellow"/>
              </w:rPr>
            </w:pPr>
            <w:r w:rsidRPr="00165243">
              <w:rPr>
                <w:rFonts w:ascii="Sylfaen" w:hAnsi="Sylfaen" w:cs="Sylfaen"/>
                <w:sz w:val="20"/>
                <w:szCs w:val="20"/>
                <w:lang w:val="ka-GE"/>
              </w:rPr>
              <w:t>2022 წლის სახელმწიფო ბიუჯეტის შესრულების ანგარიში, რომელიც გამოქვეყნებულია საქართველოს ფინანსთა სამინისტროს ვებგვერდზე.</w:t>
            </w:r>
          </w:p>
        </w:tc>
        <w:tc>
          <w:tcPr>
            <w:tcW w:w="4764" w:type="dxa"/>
            <w:vAlign w:val="center"/>
          </w:tcPr>
          <w:p w:rsidR="00165243" w:rsidRPr="00FA7B83" w:rsidRDefault="00165243" w:rsidP="00FA7B83">
            <w:pPr>
              <w:jc w:val="both"/>
              <w:rPr>
                <w:rFonts w:ascii="Sylfaen" w:hAnsi="Sylfaen"/>
                <w:sz w:val="20"/>
                <w:szCs w:val="20"/>
                <w:lang w:val="ka-GE"/>
              </w:rPr>
            </w:pPr>
            <w:r w:rsidRPr="00FA7B83">
              <w:rPr>
                <w:rFonts w:ascii="Sylfaen" w:hAnsi="Sylfaen"/>
                <w:sz w:val="20"/>
                <w:szCs w:val="20"/>
                <w:lang w:val="ka-GE"/>
              </w:rPr>
              <w:t xml:space="preserve"> „საგარეო საკრედიტო რესურსებიდან გაცემული სესხების მდგომარეობის შესახებ ინფორმაცია  განთავსებულია</w:t>
            </w:r>
            <w:r w:rsidR="00902447">
              <w:rPr>
                <w:rFonts w:ascii="Sylfaen" w:hAnsi="Sylfaen"/>
                <w:sz w:val="20"/>
                <w:szCs w:val="20"/>
                <w:lang w:val="ka-GE"/>
              </w:rPr>
              <w:t xml:space="preserve"> საქართველოს</w:t>
            </w:r>
            <w:r w:rsidRPr="00FA7B83">
              <w:rPr>
                <w:rFonts w:ascii="Sylfaen" w:hAnsi="Sylfaen"/>
                <w:sz w:val="20"/>
                <w:szCs w:val="20"/>
                <w:lang w:val="ka-GE"/>
              </w:rPr>
              <w:t xml:space="preserve"> ფინანსთა სამინისტროს ვებ გვერდზე: </w:t>
            </w:r>
          </w:p>
          <w:p w:rsidR="00165243" w:rsidRDefault="00165243" w:rsidP="00902447">
            <w:pPr>
              <w:jc w:val="both"/>
              <w:rPr>
                <w:rFonts w:ascii="Sylfaen" w:hAnsi="Sylfaen"/>
                <w:sz w:val="20"/>
                <w:szCs w:val="20"/>
                <w:lang w:val="ka-GE"/>
              </w:rPr>
            </w:pPr>
            <w:r w:rsidRPr="00FA7B83">
              <w:rPr>
                <w:rFonts w:ascii="Sylfaen" w:hAnsi="Sylfaen"/>
                <w:sz w:val="20"/>
                <w:szCs w:val="20"/>
                <w:lang w:val="ka-GE"/>
              </w:rPr>
              <w:t>mof.ge/sakredito_resursebidan_gacemuli_sesxebi</w:t>
            </w:r>
            <w:r w:rsidR="008C6E72">
              <w:rPr>
                <w:rFonts w:ascii="Sylfaen" w:hAnsi="Sylfaen"/>
                <w:sz w:val="20"/>
                <w:szCs w:val="20"/>
                <w:lang w:val="ka-GE"/>
              </w:rPr>
              <w:t>;</w:t>
            </w:r>
            <w:r w:rsidR="00902447">
              <w:rPr>
                <w:rFonts w:ascii="Sylfaen" w:hAnsi="Sylfaen"/>
                <w:sz w:val="20"/>
                <w:szCs w:val="20"/>
                <w:lang w:val="ka-GE"/>
              </w:rPr>
              <w:t xml:space="preserve"> აღმიშნულთან დაკავშირებით მითითებულია 2022 წლის სახელმწიფო ბიუჯეტის შესრულების ანგარიშში.</w:t>
            </w:r>
          </w:p>
          <w:p w:rsidR="00E409E6" w:rsidRDefault="008C6E72" w:rsidP="00165243">
            <w:pPr>
              <w:jc w:val="both"/>
              <w:rPr>
                <w:rFonts w:ascii="Sylfaen" w:hAnsi="Sylfaen"/>
                <w:sz w:val="20"/>
                <w:szCs w:val="20"/>
                <w:lang w:val="ka-GE"/>
              </w:rPr>
            </w:pPr>
            <w:r>
              <w:rPr>
                <w:rFonts w:ascii="Sylfaen" w:hAnsi="Sylfaen"/>
                <w:sz w:val="20"/>
                <w:szCs w:val="20"/>
                <w:lang w:val="ka-GE"/>
              </w:rPr>
              <w:t>რაც შეეხება სახელმწიფო საწარმოებს, საქართველოს საბიუჯეტო კოდექსში შეტანილი ცვლილების შესაბამისად, დაგეგმილია  სამთავრობო სეექტორისათვის მიკუთვნებული საწარმოების ხაზინის მომსახურებაზე გადმოსვლა</w:t>
            </w:r>
            <w:r w:rsidR="00E409E6">
              <w:rPr>
                <w:rFonts w:ascii="Sylfaen" w:hAnsi="Sylfaen"/>
                <w:sz w:val="20"/>
                <w:szCs w:val="20"/>
                <w:lang w:val="ka-GE"/>
              </w:rPr>
              <w:t xml:space="preserve"> 2026 წლამდე, ეტაპობრივად</w:t>
            </w:r>
            <w:r>
              <w:rPr>
                <w:rFonts w:ascii="Sylfaen" w:hAnsi="Sylfaen"/>
                <w:sz w:val="20"/>
                <w:szCs w:val="20"/>
                <w:lang w:val="ka-GE"/>
              </w:rPr>
              <w:t xml:space="preserve">. </w:t>
            </w:r>
            <w:r w:rsidR="00E409E6">
              <w:rPr>
                <w:rFonts w:ascii="Sylfaen" w:hAnsi="Sylfaen"/>
                <w:sz w:val="20"/>
                <w:szCs w:val="20"/>
                <w:lang w:val="ka-GE"/>
              </w:rPr>
              <w:t xml:space="preserve">საქართველოს საბიუჯეტო კოდექსის საფუძველზე, მიმდინარე წელს საქართველოს ფინანსთა მინისტრის ბრძანებით დამტკიცდა სახელმწიფო საწარმოების </w:t>
            </w:r>
            <w:r w:rsidR="00E409E6">
              <w:rPr>
                <w:rFonts w:ascii="Sylfaen" w:hAnsi="Sylfaen"/>
                <w:sz w:val="20"/>
                <w:szCs w:val="20"/>
                <w:lang w:val="ka-GE"/>
              </w:rPr>
              <w:lastRenderedPageBreak/>
              <w:t xml:space="preserve">სექტორიზაციის რეესტრი, ასევე </w:t>
            </w:r>
            <w:r w:rsidR="00E409E6" w:rsidRPr="00E409E6">
              <w:rPr>
                <w:rFonts w:ascii="Sylfaen" w:hAnsi="Sylfaen"/>
                <w:sz w:val="20"/>
                <w:szCs w:val="20"/>
                <w:lang w:val="ka-GE"/>
              </w:rPr>
              <w:t xml:space="preserve">სამთავრობო სექტორისთვის მიკუთვნებული სახელმწიფო საწარმოების მიერ საქართველოს ფინანსთა სამინისტროსთვის კვარტალურად და წლიურად წარსადგენი ინფორმაციის </w:t>
            </w:r>
            <w:r w:rsidR="00E409E6">
              <w:rPr>
                <w:rFonts w:ascii="Sylfaen" w:hAnsi="Sylfaen"/>
                <w:sz w:val="20"/>
                <w:szCs w:val="20"/>
                <w:lang w:val="ka-GE"/>
              </w:rPr>
              <w:t>ნუსხა</w:t>
            </w:r>
            <w:r w:rsidR="00E409E6" w:rsidRPr="00E409E6">
              <w:rPr>
                <w:rFonts w:ascii="Sylfaen" w:hAnsi="Sylfaen"/>
                <w:sz w:val="20"/>
                <w:szCs w:val="20"/>
                <w:lang w:val="ka-GE"/>
              </w:rPr>
              <w:t xml:space="preserve"> და მათი წარდგენის ვადები</w:t>
            </w:r>
            <w:r w:rsidR="00E409E6">
              <w:rPr>
                <w:rFonts w:ascii="Sylfaen" w:hAnsi="Sylfaen"/>
                <w:sz w:val="20"/>
                <w:szCs w:val="20"/>
                <w:lang w:val="ka-GE"/>
              </w:rPr>
              <w:t xml:space="preserve">. მიმდინარეობს სამთავრობო სექტორისათვის მიკუთვნებული საწარმოების მიერ წარმოდგენილი მონაცემების ანალიზი. ცენტრალური ბიუჯეტის სამთავრობო სექტორისათვის მიკუთვნებული სახელმწიფო საწარმოების შემოსულობების და გადასახდელების შესახებ ინფორმაცია  ნაწილობრივ წარმოდგენილია 2022 წლის ბიუჯეტის შესრულების ანგარიშის ცენტრალური ბიუჯეტის </w:t>
            </w:r>
            <w:r w:rsidR="00140805">
              <w:rPr>
                <w:rFonts w:ascii="Sylfaen" w:hAnsi="Sylfaen"/>
                <w:sz w:val="20"/>
                <w:szCs w:val="20"/>
                <w:lang w:val="ka-GE"/>
              </w:rPr>
              <w:t>შესრულების მაჩვენებლებში</w:t>
            </w:r>
            <w:r w:rsidR="00E409E6">
              <w:rPr>
                <w:rFonts w:ascii="Sylfaen" w:hAnsi="Sylfaen"/>
                <w:sz w:val="20"/>
                <w:szCs w:val="20"/>
                <w:lang w:val="ka-GE"/>
              </w:rPr>
              <w:t xml:space="preserve"> (</w:t>
            </w:r>
            <w:r w:rsidR="00E409E6">
              <w:rPr>
                <w:rFonts w:ascii="Sylfaen" w:hAnsi="Sylfaen"/>
                <w:sz w:val="20"/>
                <w:szCs w:val="20"/>
              </w:rPr>
              <w:t xml:space="preserve">VII </w:t>
            </w:r>
            <w:r w:rsidR="00E409E6">
              <w:rPr>
                <w:rFonts w:ascii="Sylfaen" w:hAnsi="Sylfaen"/>
                <w:sz w:val="20"/>
                <w:szCs w:val="20"/>
                <w:lang w:val="ka-GE"/>
              </w:rPr>
              <w:t>თავი)</w:t>
            </w:r>
            <w:r w:rsidR="00032C7F">
              <w:rPr>
                <w:rFonts w:ascii="Sylfaen" w:hAnsi="Sylfaen"/>
                <w:sz w:val="20"/>
                <w:szCs w:val="20"/>
                <w:lang w:val="ka-GE"/>
              </w:rPr>
              <w:t xml:space="preserve">, </w:t>
            </w:r>
            <w:r w:rsidR="00032C7F" w:rsidRPr="00032C7F">
              <w:rPr>
                <w:rFonts w:ascii="Sylfaen" w:hAnsi="Sylfaen"/>
                <w:sz w:val="20"/>
                <w:szCs w:val="20"/>
                <w:lang w:val="ka-GE"/>
              </w:rPr>
              <w:t xml:space="preserve">რომლის დაფარვის არეალიც დამატებით გაიზრდება შესრულების ანგარიშის </w:t>
            </w:r>
            <w:r w:rsidR="00045774">
              <w:rPr>
                <w:rFonts w:ascii="Sylfaen" w:hAnsi="Sylfaen"/>
                <w:sz w:val="20"/>
                <w:szCs w:val="20"/>
                <w:lang w:val="ka-GE"/>
              </w:rPr>
              <w:t>საქართველოს პარლამენტისთვის წარდგენამდე.</w:t>
            </w:r>
          </w:p>
          <w:p w:rsidR="008C6E72" w:rsidRDefault="00E409E6" w:rsidP="00165243">
            <w:pPr>
              <w:jc w:val="both"/>
              <w:rPr>
                <w:rFonts w:ascii="Sylfaen" w:hAnsi="Sylfaen"/>
                <w:sz w:val="20"/>
                <w:szCs w:val="20"/>
                <w:lang w:val="ka-GE"/>
              </w:rPr>
            </w:pPr>
            <w:r>
              <w:rPr>
                <w:rFonts w:ascii="Sylfaen" w:hAnsi="Sylfaen"/>
                <w:sz w:val="20"/>
                <w:szCs w:val="20"/>
                <w:lang w:val="ka-GE"/>
              </w:rPr>
              <w:t xml:space="preserve">ასევე, აღსანიშნავია, რომ მიმდინარე წლის 15 ივლისამდე დაგეგმილია </w:t>
            </w:r>
            <w:r w:rsidRPr="00E409E6">
              <w:rPr>
                <w:rFonts w:ascii="Sylfaen" w:hAnsi="Sylfaen"/>
                <w:sz w:val="20"/>
                <w:szCs w:val="20"/>
                <w:lang w:val="ka-GE"/>
              </w:rPr>
              <w:t>სამთავრობო სექტორისთვის მიკუთვნებული სახელმწიფო საწარმოების სახელმწიფო ხაზინის მომსახურებაზე 2024-2025 წლებში ეტაპობრივად გადასვლის სამოქმედო გეგმ</w:t>
            </w:r>
            <w:r>
              <w:rPr>
                <w:rFonts w:ascii="Sylfaen" w:hAnsi="Sylfaen"/>
                <w:sz w:val="20"/>
                <w:szCs w:val="20"/>
                <w:lang w:val="ka-GE"/>
              </w:rPr>
              <w:t>ის შემუშავება.</w:t>
            </w:r>
          </w:p>
          <w:p w:rsidR="00F44287" w:rsidRPr="00140805" w:rsidRDefault="00E409E6" w:rsidP="00742134">
            <w:pPr>
              <w:jc w:val="both"/>
              <w:rPr>
                <w:rFonts w:ascii="Sylfaen" w:hAnsi="Sylfaen"/>
                <w:sz w:val="20"/>
                <w:szCs w:val="20"/>
                <w:lang w:val="ka-GE"/>
              </w:rPr>
            </w:pPr>
            <w:r>
              <w:rPr>
                <w:rFonts w:ascii="Sylfaen" w:hAnsi="Sylfaen"/>
                <w:sz w:val="20"/>
                <w:szCs w:val="20"/>
                <w:lang w:val="ka-GE"/>
              </w:rPr>
              <w:t xml:space="preserve">ამასთან, </w:t>
            </w:r>
            <w:r w:rsidR="008C6E72">
              <w:rPr>
                <w:rFonts w:ascii="Sylfaen" w:hAnsi="Sylfaen"/>
                <w:sz w:val="20"/>
                <w:szCs w:val="20"/>
                <w:lang w:val="ka-GE"/>
              </w:rPr>
              <w:t>ფ</w:t>
            </w:r>
            <w:r w:rsidR="008C6E72" w:rsidRPr="008C6E72">
              <w:rPr>
                <w:rFonts w:ascii="Sylfaen" w:hAnsi="Sylfaen"/>
                <w:sz w:val="20"/>
                <w:szCs w:val="20"/>
                <w:lang w:val="ka-GE"/>
              </w:rPr>
              <w:t xml:space="preserve">ისკალური რისკების ანალიზის დოკუმენტი მოიცავს ინფორმაციას </w:t>
            </w:r>
            <w:r w:rsidR="008C6E72">
              <w:rPr>
                <w:rFonts w:ascii="Sylfaen" w:hAnsi="Sylfaen"/>
                <w:sz w:val="20"/>
                <w:szCs w:val="20"/>
                <w:lang w:val="ka-GE"/>
              </w:rPr>
              <w:t xml:space="preserve">სახელმწიფო საწარმოებზე </w:t>
            </w:r>
            <w:r w:rsidR="008C6E72" w:rsidRPr="008C6E72">
              <w:rPr>
                <w:rFonts w:ascii="Sylfaen" w:hAnsi="Sylfaen"/>
                <w:sz w:val="20"/>
                <w:szCs w:val="20"/>
                <w:lang w:val="ka-GE"/>
              </w:rPr>
              <w:t>გაცემული დაფინანსების - სუბსიდიების შესახებ. სუბსიდიების</w:t>
            </w:r>
            <w:r>
              <w:rPr>
                <w:rFonts w:ascii="Sylfaen" w:hAnsi="Sylfaen"/>
                <w:sz w:val="20"/>
                <w:szCs w:val="20"/>
                <w:lang w:val="ka-GE"/>
              </w:rPr>
              <w:t xml:space="preserve"> მიზნობრიობის შესახებ ინფორმაცია ასახული იქნება 2024 წლის სახელმწიფო ბიუჯეტზე თანდართულ</w:t>
            </w:r>
            <w:r w:rsidR="008C6E72" w:rsidRPr="008C6E72">
              <w:rPr>
                <w:rFonts w:ascii="Sylfaen" w:hAnsi="Sylfaen"/>
                <w:sz w:val="20"/>
                <w:szCs w:val="20"/>
                <w:lang w:val="ka-GE"/>
              </w:rPr>
              <w:t xml:space="preserve"> ფისკალური რისკების ანალიზის </w:t>
            </w:r>
            <w:r>
              <w:rPr>
                <w:rFonts w:ascii="Sylfaen" w:hAnsi="Sylfaen"/>
                <w:sz w:val="20"/>
                <w:szCs w:val="20"/>
                <w:lang w:val="ka-GE"/>
              </w:rPr>
              <w:t>დოკუმენტში.</w:t>
            </w:r>
          </w:p>
        </w:tc>
      </w:tr>
      <w:tr w:rsidR="00F44287" w:rsidRPr="00742134" w:rsidTr="00E97A04">
        <w:trPr>
          <w:trHeight w:val="368"/>
        </w:trPr>
        <w:tc>
          <w:tcPr>
            <w:tcW w:w="450" w:type="dxa"/>
          </w:tcPr>
          <w:p w:rsidR="00F44287" w:rsidRPr="00742134" w:rsidRDefault="00F44287" w:rsidP="00742134">
            <w:pPr>
              <w:pStyle w:val="Heading2"/>
              <w:outlineLvl w:val="1"/>
              <w:rPr>
                <w:rFonts w:ascii="Sylfaen" w:eastAsiaTheme="minorHAnsi" w:hAnsi="Sylfaen" w:cstheme="minorBidi"/>
                <w:b/>
                <w:color w:val="auto"/>
                <w:sz w:val="20"/>
                <w:szCs w:val="20"/>
                <w:lang w:val="ka-GE"/>
              </w:rPr>
            </w:pPr>
          </w:p>
        </w:tc>
        <w:tc>
          <w:tcPr>
            <w:tcW w:w="14054" w:type="dxa"/>
            <w:gridSpan w:val="6"/>
            <w:vAlign w:val="center"/>
          </w:tcPr>
          <w:p w:rsidR="00F44287" w:rsidRPr="00742134" w:rsidRDefault="00F44287" w:rsidP="00742134">
            <w:pPr>
              <w:pStyle w:val="Heading2"/>
              <w:outlineLvl w:val="1"/>
              <w:rPr>
                <w:rFonts w:ascii="Sylfaen" w:hAnsi="Sylfaen"/>
                <w:sz w:val="20"/>
                <w:szCs w:val="20"/>
                <w:lang w:val="ka-GE"/>
              </w:rPr>
            </w:pPr>
            <w:r w:rsidRPr="00742134">
              <w:rPr>
                <w:rFonts w:ascii="Sylfaen" w:eastAsiaTheme="minorHAnsi" w:hAnsi="Sylfaen" w:cstheme="minorBidi"/>
                <w:b/>
                <w:color w:val="auto"/>
                <w:sz w:val="20"/>
                <w:szCs w:val="20"/>
                <w:lang w:val="ka-GE"/>
              </w:rPr>
              <w:t>საქართველოს მთავრობას</w:t>
            </w:r>
          </w:p>
        </w:tc>
      </w:tr>
      <w:tr w:rsidR="00F44287" w:rsidRPr="00742134" w:rsidTr="00E97A04">
        <w:trPr>
          <w:gridAfter w:val="1"/>
          <w:wAfter w:w="20" w:type="dxa"/>
          <w:trHeight w:val="1385"/>
        </w:trPr>
        <w:tc>
          <w:tcPr>
            <w:tcW w:w="450" w:type="dxa"/>
          </w:tcPr>
          <w:p w:rsidR="00F44287" w:rsidRPr="00742134" w:rsidRDefault="00F44287" w:rsidP="00742134">
            <w:pPr>
              <w:spacing w:line="276" w:lineRule="auto"/>
              <w:jc w:val="both"/>
              <w:rPr>
                <w:rFonts w:ascii="Sylfaen" w:hAnsi="Sylfaen" w:cs="Sylfaen"/>
                <w:sz w:val="20"/>
                <w:szCs w:val="20"/>
                <w:lang w:val="ka-GE"/>
              </w:rPr>
            </w:pPr>
          </w:p>
        </w:tc>
        <w:tc>
          <w:tcPr>
            <w:tcW w:w="3780" w:type="dxa"/>
          </w:tcPr>
          <w:p w:rsidR="00F44287" w:rsidRPr="00742134" w:rsidRDefault="00F44287" w:rsidP="00742134">
            <w:pPr>
              <w:spacing w:line="276" w:lineRule="auto"/>
              <w:jc w:val="both"/>
              <w:rPr>
                <w:rFonts w:ascii="Sylfaen" w:hAnsi="Sylfaen" w:cs="Sylfaen"/>
                <w:sz w:val="20"/>
                <w:szCs w:val="20"/>
                <w:lang w:val="ka-GE"/>
              </w:rPr>
            </w:pPr>
            <w:r w:rsidRPr="00742134">
              <w:rPr>
                <w:rFonts w:ascii="Sylfaen" w:hAnsi="Sylfaen" w:cs="Sylfaen"/>
                <w:sz w:val="20"/>
                <w:szCs w:val="20"/>
                <w:lang w:val="ka-GE"/>
              </w:rPr>
              <w:t>მიზანშეწონილია, ფორმალურად დამტკიცდეს პროგრამული ბიუჯეტის დანერგვის სამოქმედო გეგმა, სადაც გაწერილი იქნება რეფორმის ფარგლებში განსახორციელებელი კონკრეტული აქტივობები შესაბამისი ვადებითა და პასუხისმგებელი უწყებებით.</w:t>
            </w:r>
          </w:p>
        </w:tc>
        <w:tc>
          <w:tcPr>
            <w:tcW w:w="1260" w:type="dxa"/>
          </w:tcPr>
          <w:p w:rsidR="00F44287" w:rsidRPr="00742134" w:rsidRDefault="00F44287" w:rsidP="00742134">
            <w:pPr>
              <w:jc w:val="center"/>
              <w:rPr>
                <w:rFonts w:ascii="Sylfaen" w:hAnsi="Sylfaen"/>
                <w:sz w:val="20"/>
                <w:szCs w:val="20"/>
                <w:lang w:val="ka-GE"/>
              </w:rPr>
            </w:pPr>
          </w:p>
        </w:tc>
        <w:tc>
          <w:tcPr>
            <w:tcW w:w="1530" w:type="dxa"/>
            <w:vAlign w:val="center"/>
          </w:tcPr>
          <w:p w:rsidR="00F44287" w:rsidRPr="00742134" w:rsidRDefault="00F44287" w:rsidP="00742134">
            <w:pPr>
              <w:jc w:val="center"/>
              <w:rPr>
                <w:rFonts w:ascii="Sylfaen" w:hAnsi="Sylfaen"/>
                <w:sz w:val="20"/>
                <w:szCs w:val="20"/>
              </w:rPr>
            </w:pPr>
            <w:r w:rsidRPr="00742134">
              <w:rPr>
                <w:rFonts w:ascii="Sylfaen" w:hAnsi="Sylfaen"/>
                <w:sz w:val="20"/>
                <w:szCs w:val="20"/>
                <w:lang w:val="ka-GE"/>
              </w:rPr>
              <w:t>საქართველოს მთავრობა</w:t>
            </w:r>
          </w:p>
        </w:tc>
        <w:tc>
          <w:tcPr>
            <w:tcW w:w="2700" w:type="dxa"/>
          </w:tcPr>
          <w:p w:rsidR="00F44287" w:rsidRPr="00742134" w:rsidRDefault="00F44287" w:rsidP="00742134">
            <w:pPr>
              <w:jc w:val="both"/>
              <w:rPr>
                <w:rFonts w:ascii="Sylfaen" w:hAnsi="Sylfaen"/>
                <w:sz w:val="20"/>
                <w:szCs w:val="20"/>
              </w:rPr>
            </w:pPr>
          </w:p>
          <w:p w:rsidR="00F44287" w:rsidRPr="00586FBD" w:rsidRDefault="00F44287" w:rsidP="00742134">
            <w:pPr>
              <w:jc w:val="both"/>
              <w:rPr>
                <w:rFonts w:ascii="Sylfaen" w:hAnsi="Sylfaen"/>
                <w:sz w:val="20"/>
                <w:szCs w:val="20"/>
                <w:lang w:val="ka-GE"/>
              </w:rPr>
            </w:pPr>
          </w:p>
        </w:tc>
        <w:tc>
          <w:tcPr>
            <w:tcW w:w="4764" w:type="dxa"/>
            <w:vAlign w:val="center"/>
          </w:tcPr>
          <w:p w:rsidR="00F44287" w:rsidRPr="00742134" w:rsidRDefault="00F44287" w:rsidP="00586FBD">
            <w:pPr>
              <w:jc w:val="both"/>
              <w:rPr>
                <w:rFonts w:ascii="Sylfaen" w:hAnsi="Sylfaen"/>
                <w:sz w:val="20"/>
                <w:szCs w:val="20"/>
                <w:lang w:val="ka-GE"/>
              </w:rPr>
            </w:pPr>
            <w:r w:rsidRPr="00742134">
              <w:rPr>
                <w:rFonts w:ascii="Sylfaen" w:hAnsi="Sylfaen"/>
                <w:sz w:val="20"/>
                <w:szCs w:val="20"/>
                <w:lang w:val="ka-GE"/>
              </w:rPr>
              <w:t>პროგრამული ბიუჯეტირების გაუმჯობესების მიმართულებით</w:t>
            </w:r>
            <w:r w:rsidRPr="00742134">
              <w:rPr>
                <w:rFonts w:ascii="Sylfaen" w:hAnsi="Sylfaen"/>
                <w:sz w:val="20"/>
                <w:szCs w:val="20"/>
              </w:rPr>
              <w:t xml:space="preserve"> </w:t>
            </w:r>
            <w:r w:rsidRPr="00742134">
              <w:rPr>
                <w:rFonts w:ascii="Sylfaen" w:hAnsi="Sylfaen"/>
                <w:sz w:val="20"/>
                <w:szCs w:val="20"/>
                <w:lang w:val="ka-GE"/>
              </w:rPr>
              <w:t xml:space="preserve">საერთაშორისო პარტნიორების მხარდაჭერით ხორციელდება ტრენინგები და სამუშაო შეხვედრები შერჩეულ სამინისტროებთან. პროგრამული ბიუჯეტის ფორმატი და შინაარსი ეტაპობრივად იხვეწება. </w:t>
            </w:r>
          </w:p>
          <w:p w:rsidR="00140805" w:rsidRDefault="00F44287" w:rsidP="00586FBD">
            <w:pPr>
              <w:jc w:val="both"/>
              <w:rPr>
                <w:rFonts w:ascii="Sylfaen" w:hAnsi="Sylfaen"/>
                <w:sz w:val="20"/>
                <w:szCs w:val="20"/>
                <w:lang w:val="ka-GE"/>
              </w:rPr>
            </w:pPr>
            <w:r w:rsidRPr="00742134">
              <w:rPr>
                <w:rFonts w:ascii="Sylfaen" w:hAnsi="Sylfaen"/>
                <w:sz w:val="20"/>
                <w:szCs w:val="20"/>
                <w:lang w:val="ka-GE"/>
              </w:rPr>
              <w:t xml:space="preserve">ამასთან, 2023 წლიდან საპილოტე რეჟიმში საჯარო ფინანსების მართვის რეფორმის ფარგლებში, ბიუჯეტის მართვის ელექტრონული სისტემა საშუალებას იძლევა მხარჯავმა დაწესებულებებმა თავიანთი პროგრამები/ქვეპროგრამები დააკავშირონ პოლიტიკის კლასიფიკატორთან (მაგ: გაეროს მდგრადი განვითარების მიზნები - </w:t>
            </w:r>
            <w:r w:rsidRPr="00742134">
              <w:rPr>
                <w:rFonts w:ascii="Sylfaen" w:hAnsi="Sylfaen"/>
                <w:sz w:val="20"/>
                <w:szCs w:val="20"/>
              </w:rPr>
              <w:t xml:space="preserve">SDG, </w:t>
            </w:r>
            <w:r w:rsidRPr="00742134">
              <w:rPr>
                <w:rFonts w:ascii="Sylfaen" w:hAnsi="Sylfaen"/>
                <w:sz w:val="20"/>
                <w:szCs w:val="20"/>
                <w:lang w:val="ka-GE"/>
              </w:rPr>
              <w:t>კლიმატის ცვლილება, გენდერი და სხვა), რაც აისახება პროგრამული ბიუჯეტის დანართში.</w:t>
            </w:r>
          </w:p>
          <w:p w:rsidR="00F44287" w:rsidRPr="00742134" w:rsidRDefault="00140805" w:rsidP="00586FBD">
            <w:pPr>
              <w:jc w:val="both"/>
              <w:rPr>
                <w:rFonts w:ascii="Sylfaen" w:hAnsi="Sylfaen"/>
                <w:sz w:val="20"/>
                <w:szCs w:val="20"/>
                <w:lang w:val="ka-GE"/>
              </w:rPr>
            </w:pPr>
            <w:r>
              <w:rPr>
                <w:rFonts w:ascii="Sylfaen" w:hAnsi="Sylfaen"/>
                <w:sz w:val="20"/>
                <w:szCs w:val="20"/>
                <w:lang w:val="ka-GE"/>
              </w:rPr>
              <w:t>ამასთან, საჯარო ფინანსების მართვის რეფორმის სტრატეგიის ფარგლებში პროგრამული ბიუჯეტის გაუმჯობესების მიმართულებით დაგეგმილია შესაბამისი ღონისძიებების განხორციელება.</w:t>
            </w:r>
            <w:r w:rsidR="00F44287" w:rsidRPr="00742134">
              <w:rPr>
                <w:rFonts w:ascii="Sylfaen" w:hAnsi="Sylfaen"/>
                <w:sz w:val="20"/>
                <w:szCs w:val="20"/>
                <w:lang w:val="ka-GE"/>
              </w:rPr>
              <w:t xml:space="preserve">   </w:t>
            </w:r>
          </w:p>
        </w:tc>
      </w:tr>
    </w:tbl>
    <w:p w:rsidR="00705573" w:rsidRPr="00742134" w:rsidRDefault="00705573" w:rsidP="001A09ED">
      <w:pPr>
        <w:spacing w:line="276" w:lineRule="auto"/>
        <w:jc w:val="both"/>
        <w:rPr>
          <w:rFonts w:ascii="Sylfaen" w:hAnsi="Sylfaen"/>
          <w:sz w:val="20"/>
          <w:szCs w:val="20"/>
        </w:rPr>
      </w:pPr>
    </w:p>
    <w:sectPr w:rsidR="00705573" w:rsidRPr="00742134" w:rsidSect="00E97A04">
      <w:footerReference w:type="default" r:id="rId9"/>
      <w:pgSz w:w="15840" w:h="12240" w:orient="landscape"/>
      <w:pgMar w:top="630" w:right="1440" w:bottom="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156" w:rsidRDefault="00FC1156" w:rsidP="00705573">
      <w:pPr>
        <w:spacing w:after="0" w:line="240" w:lineRule="auto"/>
      </w:pPr>
      <w:r>
        <w:separator/>
      </w:r>
    </w:p>
  </w:endnote>
  <w:endnote w:type="continuationSeparator" w:id="0">
    <w:p w:rsidR="00FC1156" w:rsidRDefault="00FC1156" w:rsidP="0070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020792"/>
      <w:docPartObj>
        <w:docPartGallery w:val="Page Numbers (Bottom of Page)"/>
        <w:docPartUnique/>
      </w:docPartObj>
    </w:sdtPr>
    <w:sdtEndPr>
      <w:rPr>
        <w:noProof/>
      </w:rPr>
    </w:sdtEndPr>
    <w:sdtContent>
      <w:p w:rsidR="00E958BB" w:rsidRDefault="00E958BB">
        <w:pPr>
          <w:pStyle w:val="Footer"/>
          <w:jc w:val="right"/>
        </w:pPr>
        <w:r>
          <w:fldChar w:fldCharType="begin"/>
        </w:r>
        <w:r>
          <w:instrText xml:space="preserve"> PAGE   \* MERGEFORMAT </w:instrText>
        </w:r>
        <w:r>
          <w:fldChar w:fldCharType="separate"/>
        </w:r>
        <w:r w:rsidR="00F8437D">
          <w:rPr>
            <w:noProof/>
          </w:rPr>
          <w:t>2</w:t>
        </w:r>
        <w:r>
          <w:rPr>
            <w:noProof/>
          </w:rPr>
          <w:fldChar w:fldCharType="end"/>
        </w:r>
      </w:p>
    </w:sdtContent>
  </w:sdt>
  <w:p w:rsidR="00572FC6" w:rsidRDefault="0057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156" w:rsidRDefault="00FC1156" w:rsidP="00705573">
      <w:pPr>
        <w:spacing w:after="0" w:line="240" w:lineRule="auto"/>
      </w:pPr>
      <w:r>
        <w:separator/>
      </w:r>
    </w:p>
  </w:footnote>
  <w:footnote w:type="continuationSeparator" w:id="0">
    <w:p w:rsidR="00FC1156" w:rsidRDefault="00FC1156" w:rsidP="00705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B78"/>
    <w:multiLevelType w:val="hybridMultilevel"/>
    <w:tmpl w:val="CE7E4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C2EB6"/>
    <w:multiLevelType w:val="hybridMultilevel"/>
    <w:tmpl w:val="496E8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491D96"/>
    <w:multiLevelType w:val="hybridMultilevel"/>
    <w:tmpl w:val="5096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DE12AD"/>
    <w:multiLevelType w:val="hybridMultilevel"/>
    <w:tmpl w:val="57C6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67498"/>
    <w:multiLevelType w:val="hybridMultilevel"/>
    <w:tmpl w:val="5764F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71B"/>
    <w:multiLevelType w:val="hybridMultilevel"/>
    <w:tmpl w:val="948C3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DE6A07"/>
    <w:multiLevelType w:val="hybridMultilevel"/>
    <w:tmpl w:val="D49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1100B"/>
    <w:multiLevelType w:val="hybridMultilevel"/>
    <w:tmpl w:val="2820A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920E4C"/>
    <w:multiLevelType w:val="hybridMultilevel"/>
    <w:tmpl w:val="42A4E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671755"/>
    <w:multiLevelType w:val="hybridMultilevel"/>
    <w:tmpl w:val="90D82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DA1A38"/>
    <w:multiLevelType w:val="hybridMultilevel"/>
    <w:tmpl w:val="1FF20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A05F2D"/>
    <w:multiLevelType w:val="hybridMultilevel"/>
    <w:tmpl w:val="0592118C"/>
    <w:lvl w:ilvl="0" w:tplc="F25A1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530FE"/>
    <w:multiLevelType w:val="hybridMultilevel"/>
    <w:tmpl w:val="87BC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662B7"/>
    <w:multiLevelType w:val="hybridMultilevel"/>
    <w:tmpl w:val="8290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5CE1"/>
    <w:multiLevelType w:val="hybridMultilevel"/>
    <w:tmpl w:val="F104B89E"/>
    <w:lvl w:ilvl="0" w:tplc="1AC8C4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3B5847"/>
    <w:multiLevelType w:val="hybridMultilevel"/>
    <w:tmpl w:val="E01C45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FA14B1E"/>
    <w:multiLevelType w:val="hybridMultilevel"/>
    <w:tmpl w:val="0310B7FE"/>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157A09"/>
    <w:multiLevelType w:val="hybridMultilevel"/>
    <w:tmpl w:val="1EA297C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9EE6279"/>
    <w:multiLevelType w:val="hybridMultilevel"/>
    <w:tmpl w:val="D152F39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CE81418"/>
    <w:multiLevelType w:val="hybridMultilevel"/>
    <w:tmpl w:val="386A8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A55512"/>
    <w:multiLevelType w:val="hybridMultilevel"/>
    <w:tmpl w:val="EBEA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F00F82"/>
    <w:multiLevelType w:val="hybridMultilevel"/>
    <w:tmpl w:val="31DAD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780C58"/>
    <w:multiLevelType w:val="hybridMultilevel"/>
    <w:tmpl w:val="8B88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5682B"/>
    <w:multiLevelType w:val="hybridMultilevel"/>
    <w:tmpl w:val="CC0EB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7A4DD2"/>
    <w:multiLevelType w:val="hybridMultilevel"/>
    <w:tmpl w:val="79BE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0015D"/>
    <w:multiLevelType w:val="hybridMultilevel"/>
    <w:tmpl w:val="48C41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04B495C"/>
    <w:multiLevelType w:val="hybridMultilevel"/>
    <w:tmpl w:val="E366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437005"/>
    <w:multiLevelType w:val="hybridMultilevel"/>
    <w:tmpl w:val="8FB0E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8250BC"/>
    <w:multiLevelType w:val="hybridMultilevel"/>
    <w:tmpl w:val="002C110A"/>
    <w:lvl w:ilvl="0" w:tplc="0409000F">
      <w:start w:val="1"/>
      <w:numFmt w:val="decimal"/>
      <w:lvlText w:val="%1."/>
      <w:lvlJc w:val="left"/>
      <w:pPr>
        <w:ind w:left="1313" w:hanging="360"/>
      </w:p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29" w15:restartNumberingAfterBreak="0">
    <w:nsid w:val="72F97875"/>
    <w:multiLevelType w:val="hybridMultilevel"/>
    <w:tmpl w:val="E51AAF00"/>
    <w:lvl w:ilvl="0" w:tplc="1AC8C4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3D1A"/>
    <w:multiLevelType w:val="hybridMultilevel"/>
    <w:tmpl w:val="C39E02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77652463"/>
    <w:multiLevelType w:val="hybridMultilevel"/>
    <w:tmpl w:val="26E8F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625DA"/>
    <w:multiLevelType w:val="hybridMultilevel"/>
    <w:tmpl w:val="EE2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C141D"/>
    <w:multiLevelType w:val="hybridMultilevel"/>
    <w:tmpl w:val="945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C00"/>
    <w:multiLevelType w:val="hybridMultilevel"/>
    <w:tmpl w:val="F814A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D87028"/>
    <w:multiLevelType w:val="hybridMultilevel"/>
    <w:tmpl w:val="2132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F1EEE"/>
    <w:multiLevelType w:val="hybridMultilevel"/>
    <w:tmpl w:val="788C0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425787"/>
    <w:multiLevelType w:val="hybridMultilevel"/>
    <w:tmpl w:val="8E90AD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2"/>
  </w:num>
  <w:num w:numId="2">
    <w:abstractNumId w:val="30"/>
  </w:num>
  <w:num w:numId="3">
    <w:abstractNumId w:val="19"/>
  </w:num>
  <w:num w:numId="4">
    <w:abstractNumId w:val="34"/>
  </w:num>
  <w:num w:numId="5">
    <w:abstractNumId w:val="7"/>
  </w:num>
  <w:num w:numId="6">
    <w:abstractNumId w:val="24"/>
  </w:num>
  <w:num w:numId="7">
    <w:abstractNumId w:val="6"/>
  </w:num>
  <w:num w:numId="8">
    <w:abstractNumId w:val="21"/>
  </w:num>
  <w:num w:numId="9">
    <w:abstractNumId w:val="18"/>
  </w:num>
  <w:num w:numId="10">
    <w:abstractNumId w:val="14"/>
  </w:num>
  <w:num w:numId="11">
    <w:abstractNumId w:val="13"/>
  </w:num>
  <w:num w:numId="12">
    <w:abstractNumId w:val="0"/>
  </w:num>
  <w:num w:numId="13">
    <w:abstractNumId w:val="27"/>
  </w:num>
  <w:num w:numId="14">
    <w:abstractNumId w:val="2"/>
  </w:num>
  <w:num w:numId="15">
    <w:abstractNumId w:val="16"/>
  </w:num>
  <w:num w:numId="16">
    <w:abstractNumId w:val="10"/>
  </w:num>
  <w:num w:numId="17">
    <w:abstractNumId w:val="26"/>
  </w:num>
  <w:num w:numId="18">
    <w:abstractNumId w:val="4"/>
  </w:num>
  <w:num w:numId="19">
    <w:abstractNumId w:val="28"/>
  </w:num>
  <w:num w:numId="20">
    <w:abstractNumId w:val="36"/>
  </w:num>
  <w:num w:numId="21">
    <w:abstractNumId w:val="2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
  </w:num>
  <w:num w:numId="25">
    <w:abstractNumId w:val="17"/>
  </w:num>
  <w:num w:numId="26">
    <w:abstractNumId w:val="15"/>
  </w:num>
  <w:num w:numId="27">
    <w:abstractNumId w:val="32"/>
  </w:num>
  <w:num w:numId="28">
    <w:abstractNumId w:val="37"/>
  </w:num>
  <w:num w:numId="29">
    <w:abstractNumId w:val="1"/>
  </w:num>
  <w:num w:numId="30">
    <w:abstractNumId w:val="11"/>
  </w:num>
  <w:num w:numId="31">
    <w:abstractNumId w:val="5"/>
  </w:num>
  <w:num w:numId="32">
    <w:abstractNumId w:val="8"/>
  </w:num>
  <w:num w:numId="33">
    <w:abstractNumId w:val="9"/>
  </w:num>
  <w:num w:numId="34">
    <w:abstractNumId w:val="35"/>
  </w:num>
  <w:num w:numId="35">
    <w:abstractNumId w:val="31"/>
  </w:num>
  <w:num w:numId="36">
    <w:abstractNumId w:val="23"/>
  </w:num>
  <w:num w:numId="37">
    <w:abstractNumId w:val="20"/>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73"/>
    <w:rsid w:val="00003A37"/>
    <w:rsid w:val="00013097"/>
    <w:rsid w:val="0001610E"/>
    <w:rsid w:val="00017410"/>
    <w:rsid w:val="0001749E"/>
    <w:rsid w:val="00032C7F"/>
    <w:rsid w:val="00035B01"/>
    <w:rsid w:val="00045774"/>
    <w:rsid w:val="00050F16"/>
    <w:rsid w:val="000562E5"/>
    <w:rsid w:val="00061FDF"/>
    <w:rsid w:val="000648E9"/>
    <w:rsid w:val="0006777A"/>
    <w:rsid w:val="000750F8"/>
    <w:rsid w:val="000752A0"/>
    <w:rsid w:val="00077E50"/>
    <w:rsid w:val="00085782"/>
    <w:rsid w:val="000917D1"/>
    <w:rsid w:val="000B71DE"/>
    <w:rsid w:val="000C444E"/>
    <w:rsid w:val="000D1C97"/>
    <w:rsid w:val="000E0338"/>
    <w:rsid w:val="00101EDE"/>
    <w:rsid w:val="00103885"/>
    <w:rsid w:val="00110074"/>
    <w:rsid w:val="00113741"/>
    <w:rsid w:val="00122D9F"/>
    <w:rsid w:val="00140805"/>
    <w:rsid w:val="00143868"/>
    <w:rsid w:val="00143B70"/>
    <w:rsid w:val="00162140"/>
    <w:rsid w:val="00165243"/>
    <w:rsid w:val="0016530B"/>
    <w:rsid w:val="00170C09"/>
    <w:rsid w:val="00171601"/>
    <w:rsid w:val="00180E65"/>
    <w:rsid w:val="00181187"/>
    <w:rsid w:val="001940C3"/>
    <w:rsid w:val="001A09ED"/>
    <w:rsid w:val="001A1E57"/>
    <w:rsid w:val="001A4E25"/>
    <w:rsid w:val="001A7579"/>
    <w:rsid w:val="001B1116"/>
    <w:rsid w:val="001B3167"/>
    <w:rsid w:val="001B62AE"/>
    <w:rsid w:val="001B71F1"/>
    <w:rsid w:val="001C3138"/>
    <w:rsid w:val="001C3C69"/>
    <w:rsid w:val="001C6386"/>
    <w:rsid w:val="001D4B5D"/>
    <w:rsid w:val="001E676B"/>
    <w:rsid w:val="001E7961"/>
    <w:rsid w:val="001F043B"/>
    <w:rsid w:val="001F4130"/>
    <w:rsid w:val="0022475A"/>
    <w:rsid w:val="00225579"/>
    <w:rsid w:val="00234F4A"/>
    <w:rsid w:val="00236486"/>
    <w:rsid w:val="002372B1"/>
    <w:rsid w:val="002423F6"/>
    <w:rsid w:val="00243193"/>
    <w:rsid w:val="002449E8"/>
    <w:rsid w:val="00250DD3"/>
    <w:rsid w:val="002657B6"/>
    <w:rsid w:val="00271B87"/>
    <w:rsid w:val="00274E51"/>
    <w:rsid w:val="00275C50"/>
    <w:rsid w:val="0028333C"/>
    <w:rsid w:val="002836D7"/>
    <w:rsid w:val="0028627C"/>
    <w:rsid w:val="0028670E"/>
    <w:rsid w:val="002A5332"/>
    <w:rsid w:val="002A5E3E"/>
    <w:rsid w:val="002B046F"/>
    <w:rsid w:val="002B2C24"/>
    <w:rsid w:val="002C3289"/>
    <w:rsid w:val="002C41D6"/>
    <w:rsid w:val="002D2744"/>
    <w:rsid w:val="002D3050"/>
    <w:rsid w:val="002D7472"/>
    <w:rsid w:val="002F27C0"/>
    <w:rsid w:val="002F6841"/>
    <w:rsid w:val="00302B96"/>
    <w:rsid w:val="00306F54"/>
    <w:rsid w:val="00312180"/>
    <w:rsid w:val="00315BE5"/>
    <w:rsid w:val="00322741"/>
    <w:rsid w:val="00332D30"/>
    <w:rsid w:val="00333E48"/>
    <w:rsid w:val="0034423D"/>
    <w:rsid w:val="00354248"/>
    <w:rsid w:val="00355ADB"/>
    <w:rsid w:val="0036433D"/>
    <w:rsid w:val="00364ECF"/>
    <w:rsid w:val="00367FE7"/>
    <w:rsid w:val="00381E20"/>
    <w:rsid w:val="003840D9"/>
    <w:rsid w:val="003930B0"/>
    <w:rsid w:val="0039546F"/>
    <w:rsid w:val="003A528F"/>
    <w:rsid w:val="003B0E78"/>
    <w:rsid w:val="003B2AB3"/>
    <w:rsid w:val="003B54D1"/>
    <w:rsid w:val="003D201E"/>
    <w:rsid w:val="003E30D6"/>
    <w:rsid w:val="003E4AA7"/>
    <w:rsid w:val="003E6406"/>
    <w:rsid w:val="003F48BF"/>
    <w:rsid w:val="00404FC6"/>
    <w:rsid w:val="004131B0"/>
    <w:rsid w:val="00413518"/>
    <w:rsid w:val="004304F3"/>
    <w:rsid w:val="004338D7"/>
    <w:rsid w:val="004425B3"/>
    <w:rsid w:val="00450A25"/>
    <w:rsid w:val="00454521"/>
    <w:rsid w:val="0045534C"/>
    <w:rsid w:val="0046591E"/>
    <w:rsid w:val="004713B7"/>
    <w:rsid w:val="004915E8"/>
    <w:rsid w:val="004947DB"/>
    <w:rsid w:val="004A156B"/>
    <w:rsid w:val="004C1B94"/>
    <w:rsid w:val="004D39DD"/>
    <w:rsid w:val="004D46B2"/>
    <w:rsid w:val="004D6838"/>
    <w:rsid w:val="004D683D"/>
    <w:rsid w:val="004E740B"/>
    <w:rsid w:val="004F18DA"/>
    <w:rsid w:val="004F50EC"/>
    <w:rsid w:val="004F57C3"/>
    <w:rsid w:val="004F605E"/>
    <w:rsid w:val="004F60FF"/>
    <w:rsid w:val="004F7546"/>
    <w:rsid w:val="00505B34"/>
    <w:rsid w:val="0052326E"/>
    <w:rsid w:val="0056262D"/>
    <w:rsid w:val="005630B6"/>
    <w:rsid w:val="00567C01"/>
    <w:rsid w:val="00572FC6"/>
    <w:rsid w:val="00586FBD"/>
    <w:rsid w:val="00591535"/>
    <w:rsid w:val="005A2088"/>
    <w:rsid w:val="005B0AA1"/>
    <w:rsid w:val="005C3CB5"/>
    <w:rsid w:val="005C47F1"/>
    <w:rsid w:val="005E1CFC"/>
    <w:rsid w:val="005E4990"/>
    <w:rsid w:val="005E6061"/>
    <w:rsid w:val="006008D4"/>
    <w:rsid w:val="0061026F"/>
    <w:rsid w:val="00614F40"/>
    <w:rsid w:val="00625504"/>
    <w:rsid w:val="00632529"/>
    <w:rsid w:val="00635DE5"/>
    <w:rsid w:val="00640ADD"/>
    <w:rsid w:val="0064745F"/>
    <w:rsid w:val="00662BA2"/>
    <w:rsid w:val="00665F94"/>
    <w:rsid w:val="00667561"/>
    <w:rsid w:val="00675BB8"/>
    <w:rsid w:val="00676787"/>
    <w:rsid w:val="006855A1"/>
    <w:rsid w:val="006A1697"/>
    <w:rsid w:val="006A2C85"/>
    <w:rsid w:val="006A598A"/>
    <w:rsid w:val="006B048A"/>
    <w:rsid w:val="006B661B"/>
    <w:rsid w:val="006C12F7"/>
    <w:rsid w:val="006E24B3"/>
    <w:rsid w:val="006E37DB"/>
    <w:rsid w:val="00705573"/>
    <w:rsid w:val="007056B4"/>
    <w:rsid w:val="0070722C"/>
    <w:rsid w:val="007073EC"/>
    <w:rsid w:val="0071440F"/>
    <w:rsid w:val="00720009"/>
    <w:rsid w:val="007219CC"/>
    <w:rsid w:val="00730CE8"/>
    <w:rsid w:val="007351C6"/>
    <w:rsid w:val="00742134"/>
    <w:rsid w:val="007543AA"/>
    <w:rsid w:val="00756459"/>
    <w:rsid w:val="00765AB6"/>
    <w:rsid w:val="00770444"/>
    <w:rsid w:val="007722D9"/>
    <w:rsid w:val="00777CC9"/>
    <w:rsid w:val="00782F29"/>
    <w:rsid w:val="00787C3B"/>
    <w:rsid w:val="0079128F"/>
    <w:rsid w:val="007A06D6"/>
    <w:rsid w:val="007A43D0"/>
    <w:rsid w:val="007A5915"/>
    <w:rsid w:val="007C4C29"/>
    <w:rsid w:val="007C5DCC"/>
    <w:rsid w:val="007C6DA8"/>
    <w:rsid w:val="007D447A"/>
    <w:rsid w:val="007E618E"/>
    <w:rsid w:val="007F2F64"/>
    <w:rsid w:val="008003FC"/>
    <w:rsid w:val="008026B9"/>
    <w:rsid w:val="00817FC0"/>
    <w:rsid w:val="00835FD6"/>
    <w:rsid w:val="008421B5"/>
    <w:rsid w:val="0085119C"/>
    <w:rsid w:val="0086087A"/>
    <w:rsid w:val="0086194D"/>
    <w:rsid w:val="00866539"/>
    <w:rsid w:val="00870C59"/>
    <w:rsid w:val="00871D39"/>
    <w:rsid w:val="00872D57"/>
    <w:rsid w:val="00873C03"/>
    <w:rsid w:val="00886FA6"/>
    <w:rsid w:val="008963BA"/>
    <w:rsid w:val="008A0FFB"/>
    <w:rsid w:val="008A18CA"/>
    <w:rsid w:val="008A2244"/>
    <w:rsid w:val="008A24AA"/>
    <w:rsid w:val="008A3EBF"/>
    <w:rsid w:val="008A660B"/>
    <w:rsid w:val="008B0F39"/>
    <w:rsid w:val="008B27C7"/>
    <w:rsid w:val="008B31C3"/>
    <w:rsid w:val="008C16B0"/>
    <w:rsid w:val="008C184F"/>
    <w:rsid w:val="008C21A3"/>
    <w:rsid w:val="008C6E72"/>
    <w:rsid w:val="008D3385"/>
    <w:rsid w:val="008F0DC4"/>
    <w:rsid w:val="008F32BE"/>
    <w:rsid w:val="00902447"/>
    <w:rsid w:val="00905614"/>
    <w:rsid w:val="00907BE0"/>
    <w:rsid w:val="009108A6"/>
    <w:rsid w:val="009162BB"/>
    <w:rsid w:val="009172E4"/>
    <w:rsid w:val="00924B09"/>
    <w:rsid w:val="0092694D"/>
    <w:rsid w:val="009354DF"/>
    <w:rsid w:val="00955912"/>
    <w:rsid w:val="00955B51"/>
    <w:rsid w:val="00957078"/>
    <w:rsid w:val="009624D5"/>
    <w:rsid w:val="00967D11"/>
    <w:rsid w:val="00992F5E"/>
    <w:rsid w:val="009A2C24"/>
    <w:rsid w:val="009B0054"/>
    <w:rsid w:val="009B36EF"/>
    <w:rsid w:val="009B376F"/>
    <w:rsid w:val="009B59DC"/>
    <w:rsid w:val="009C2479"/>
    <w:rsid w:val="009D37C7"/>
    <w:rsid w:val="009D517E"/>
    <w:rsid w:val="009D521F"/>
    <w:rsid w:val="009E5551"/>
    <w:rsid w:val="009F51AD"/>
    <w:rsid w:val="00A0776D"/>
    <w:rsid w:val="00A1117D"/>
    <w:rsid w:val="00A228EC"/>
    <w:rsid w:val="00A34846"/>
    <w:rsid w:val="00A36854"/>
    <w:rsid w:val="00A37378"/>
    <w:rsid w:val="00A47703"/>
    <w:rsid w:val="00A522A0"/>
    <w:rsid w:val="00A610CB"/>
    <w:rsid w:val="00A6680E"/>
    <w:rsid w:val="00A67C18"/>
    <w:rsid w:val="00A70167"/>
    <w:rsid w:val="00A718DC"/>
    <w:rsid w:val="00A77D98"/>
    <w:rsid w:val="00A83301"/>
    <w:rsid w:val="00A9106F"/>
    <w:rsid w:val="00AB0540"/>
    <w:rsid w:val="00AB0623"/>
    <w:rsid w:val="00AB2DFE"/>
    <w:rsid w:val="00AC4DD6"/>
    <w:rsid w:val="00AD10E5"/>
    <w:rsid w:val="00AD46E4"/>
    <w:rsid w:val="00AD521D"/>
    <w:rsid w:val="00AE0A1B"/>
    <w:rsid w:val="00AE1AFD"/>
    <w:rsid w:val="00AE3B5D"/>
    <w:rsid w:val="00AF295B"/>
    <w:rsid w:val="00AF647D"/>
    <w:rsid w:val="00AF6663"/>
    <w:rsid w:val="00AF71DD"/>
    <w:rsid w:val="00B00336"/>
    <w:rsid w:val="00B00FF9"/>
    <w:rsid w:val="00B03E35"/>
    <w:rsid w:val="00B0704F"/>
    <w:rsid w:val="00B11DB3"/>
    <w:rsid w:val="00B1420C"/>
    <w:rsid w:val="00B2028B"/>
    <w:rsid w:val="00B23E7C"/>
    <w:rsid w:val="00B2684B"/>
    <w:rsid w:val="00B32C98"/>
    <w:rsid w:val="00B36CBE"/>
    <w:rsid w:val="00B501C1"/>
    <w:rsid w:val="00B5121A"/>
    <w:rsid w:val="00B514E4"/>
    <w:rsid w:val="00B6115E"/>
    <w:rsid w:val="00B6243E"/>
    <w:rsid w:val="00B63E19"/>
    <w:rsid w:val="00B64DCD"/>
    <w:rsid w:val="00B70470"/>
    <w:rsid w:val="00B71056"/>
    <w:rsid w:val="00B82563"/>
    <w:rsid w:val="00B84D5E"/>
    <w:rsid w:val="00B91384"/>
    <w:rsid w:val="00BB191D"/>
    <w:rsid w:val="00BB7D06"/>
    <w:rsid w:val="00BC1A06"/>
    <w:rsid w:val="00BD0F50"/>
    <w:rsid w:val="00BD1F8F"/>
    <w:rsid w:val="00BE2EC1"/>
    <w:rsid w:val="00BE7E58"/>
    <w:rsid w:val="00BF191E"/>
    <w:rsid w:val="00BF36CB"/>
    <w:rsid w:val="00BF59A3"/>
    <w:rsid w:val="00C00C08"/>
    <w:rsid w:val="00C04736"/>
    <w:rsid w:val="00C06534"/>
    <w:rsid w:val="00C25DEE"/>
    <w:rsid w:val="00C31EDF"/>
    <w:rsid w:val="00C34A54"/>
    <w:rsid w:val="00C35E15"/>
    <w:rsid w:val="00C370E3"/>
    <w:rsid w:val="00C40213"/>
    <w:rsid w:val="00C4407B"/>
    <w:rsid w:val="00C512BF"/>
    <w:rsid w:val="00C51CBD"/>
    <w:rsid w:val="00C536FC"/>
    <w:rsid w:val="00C738E6"/>
    <w:rsid w:val="00C86B1B"/>
    <w:rsid w:val="00C92319"/>
    <w:rsid w:val="00C95772"/>
    <w:rsid w:val="00CB0CDA"/>
    <w:rsid w:val="00CB5130"/>
    <w:rsid w:val="00CB7D01"/>
    <w:rsid w:val="00CC07DF"/>
    <w:rsid w:val="00CC254F"/>
    <w:rsid w:val="00CE4E85"/>
    <w:rsid w:val="00CF0078"/>
    <w:rsid w:val="00CF4485"/>
    <w:rsid w:val="00CF66A7"/>
    <w:rsid w:val="00D0097A"/>
    <w:rsid w:val="00D126E1"/>
    <w:rsid w:val="00D24499"/>
    <w:rsid w:val="00D364D7"/>
    <w:rsid w:val="00D405CE"/>
    <w:rsid w:val="00D57762"/>
    <w:rsid w:val="00D6162C"/>
    <w:rsid w:val="00D62F54"/>
    <w:rsid w:val="00D632BD"/>
    <w:rsid w:val="00D63605"/>
    <w:rsid w:val="00D9087C"/>
    <w:rsid w:val="00D9319A"/>
    <w:rsid w:val="00DA67E2"/>
    <w:rsid w:val="00DB5CDD"/>
    <w:rsid w:val="00DB7DD6"/>
    <w:rsid w:val="00DC2395"/>
    <w:rsid w:val="00DD157F"/>
    <w:rsid w:val="00DE0E65"/>
    <w:rsid w:val="00DE2235"/>
    <w:rsid w:val="00DE6F33"/>
    <w:rsid w:val="00DF072F"/>
    <w:rsid w:val="00DF1DED"/>
    <w:rsid w:val="00DF36AE"/>
    <w:rsid w:val="00DF63B7"/>
    <w:rsid w:val="00E0163D"/>
    <w:rsid w:val="00E03B97"/>
    <w:rsid w:val="00E16224"/>
    <w:rsid w:val="00E30E51"/>
    <w:rsid w:val="00E33BB7"/>
    <w:rsid w:val="00E40308"/>
    <w:rsid w:val="00E409E6"/>
    <w:rsid w:val="00E53D91"/>
    <w:rsid w:val="00E570FD"/>
    <w:rsid w:val="00E62358"/>
    <w:rsid w:val="00E64FB3"/>
    <w:rsid w:val="00E666AE"/>
    <w:rsid w:val="00E66CC8"/>
    <w:rsid w:val="00E702D9"/>
    <w:rsid w:val="00E92656"/>
    <w:rsid w:val="00E958BB"/>
    <w:rsid w:val="00E95FB2"/>
    <w:rsid w:val="00E96E6A"/>
    <w:rsid w:val="00E9700F"/>
    <w:rsid w:val="00E97A04"/>
    <w:rsid w:val="00EA4F3C"/>
    <w:rsid w:val="00EA7D4D"/>
    <w:rsid w:val="00EB5DD6"/>
    <w:rsid w:val="00EC42FA"/>
    <w:rsid w:val="00EC4514"/>
    <w:rsid w:val="00EC7CA1"/>
    <w:rsid w:val="00ED068E"/>
    <w:rsid w:val="00EE6E9D"/>
    <w:rsid w:val="00EF5C3F"/>
    <w:rsid w:val="00F101D7"/>
    <w:rsid w:val="00F1585A"/>
    <w:rsid w:val="00F26803"/>
    <w:rsid w:val="00F30624"/>
    <w:rsid w:val="00F44287"/>
    <w:rsid w:val="00F45DF9"/>
    <w:rsid w:val="00F471DA"/>
    <w:rsid w:val="00F473E3"/>
    <w:rsid w:val="00F51518"/>
    <w:rsid w:val="00F60FA1"/>
    <w:rsid w:val="00F62F69"/>
    <w:rsid w:val="00F6596D"/>
    <w:rsid w:val="00F71C77"/>
    <w:rsid w:val="00F747B6"/>
    <w:rsid w:val="00F8437D"/>
    <w:rsid w:val="00F86582"/>
    <w:rsid w:val="00F907C6"/>
    <w:rsid w:val="00F920BE"/>
    <w:rsid w:val="00FA451F"/>
    <w:rsid w:val="00FA5434"/>
    <w:rsid w:val="00FA7B83"/>
    <w:rsid w:val="00FB739A"/>
    <w:rsid w:val="00FC1156"/>
    <w:rsid w:val="00FC308C"/>
    <w:rsid w:val="00FC7E43"/>
    <w:rsid w:val="00FD0B82"/>
    <w:rsid w:val="00FD2210"/>
    <w:rsid w:val="00FD4A16"/>
    <w:rsid w:val="00FE0120"/>
    <w:rsid w:val="00FF1B88"/>
    <w:rsid w:val="00FF35BB"/>
    <w:rsid w:val="00FF42D1"/>
    <w:rsid w:val="00FF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40B9A-B1E5-4171-A05D-4A079747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8A"/>
  </w:style>
  <w:style w:type="paragraph" w:styleId="Heading1">
    <w:name w:val="heading 1"/>
    <w:basedOn w:val="Normal"/>
    <w:next w:val="Normal"/>
    <w:link w:val="Heading1Char"/>
    <w:uiPriority w:val="9"/>
    <w:qFormat/>
    <w:rsid w:val="00CE4E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4E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573"/>
    <w:rPr>
      <w:rFonts w:ascii="Segoe UI" w:hAnsi="Segoe UI" w:cs="Segoe UI"/>
      <w:sz w:val="18"/>
      <w:szCs w:val="18"/>
    </w:rPr>
  </w:style>
  <w:style w:type="table" w:styleId="TableGrid">
    <w:name w:val="Table Grid"/>
    <w:basedOn w:val="TableNormal"/>
    <w:uiPriority w:val="39"/>
    <w:rsid w:val="0070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05573"/>
    <w:pPr>
      <w:spacing w:after="200" w:line="276" w:lineRule="auto"/>
      <w:ind w:left="720"/>
      <w:contextualSpacing/>
    </w:pPr>
  </w:style>
  <w:style w:type="character" w:styleId="FootnoteReference">
    <w:name w:val="footnote reference"/>
    <w:basedOn w:val="DefaultParagraphFont"/>
    <w:uiPriority w:val="99"/>
    <w:unhideWhenUsed/>
    <w:rsid w:val="00705573"/>
    <w:rPr>
      <w:vertAlign w:val="superscript"/>
    </w:rPr>
  </w:style>
  <w:style w:type="paragraph" w:styleId="CommentText">
    <w:name w:val="annotation text"/>
    <w:basedOn w:val="Normal"/>
    <w:link w:val="CommentTextChar"/>
    <w:uiPriority w:val="99"/>
    <w:unhideWhenUsed/>
    <w:rsid w:val="00CC254F"/>
    <w:pPr>
      <w:spacing w:after="200" w:line="240" w:lineRule="auto"/>
    </w:pPr>
    <w:rPr>
      <w:sz w:val="20"/>
      <w:szCs w:val="20"/>
    </w:rPr>
  </w:style>
  <w:style w:type="character" w:customStyle="1" w:styleId="CommentTextChar">
    <w:name w:val="Comment Text Char"/>
    <w:basedOn w:val="DefaultParagraphFont"/>
    <w:link w:val="CommentText"/>
    <w:uiPriority w:val="99"/>
    <w:rsid w:val="00CC254F"/>
    <w:rPr>
      <w:sz w:val="20"/>
      <w:szCs w:val="20"/>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unhideWhenUsed/>
    <w:rsid w:val="00CC254F"/>
    <w:pPr>
      <w:spacing w:after="0" w:line="240" w:lineRule="auto"/>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CC254F"/>
    <w:rPr>
      <w:sz w:val="20"/>
      <w:szCs w:val="20"/>
    </w:rPr>
  </w:style>
  <w:style w:type="paragraph" w:styleId="Header">
    <w:name w:val="header"/>
    <w:basedOn w:val="Normal"/>
    <w:link w:val="HeaderChar"/>
    <w:uiPriority w:val="99"/>
    <w:unhideWhenUsed/>
    <w:rsid w:val="002D2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744"/>
  </w:style>
  <w:style w:type="paragraph" w:styleId="Footer">
    <w:name w:val="footer"/>
    <w:basedOn w:val="Normal"/>
    <w:link w:val="FooterChar"/>
    <w:uiPriority w:val="99"/>
    <w:unhideWhenUsed/>
    <w:rsid w:val="002D2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744"/>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70722C"/>
  </w:style>
  <w:style w:type="character" w:styleId="CommentReference">
    <w:name w:val="annotation reference"/>
    <w:basedOn w:val="DefaultParagraphFont"/>
    <w:uiPriority w:val="99"/>
    <w:unhideWhenUsed/>
    <w:rsid w:val="00AD46E4"/>
    <w:rPr>
      <w:sz w:val="16"/>
      <w:szCs w:val="16"/>
    </w:rPr>
  </w:style>
  <w:style w:type="paragraph" w:styleId="CommentSubject">
    <w:name w:val="annotation subject"/>
    <w:basedOn w:val="CommentText"/>
    <w:next w:val="CommentText"/>
    <w:link w:val="CommentSubjectChar"/>
    <w:uiPriority w:val="99"/>
    <w:semiHidden/>
    <w:unhideWhenUsed/>
    <w:rsid w:val="00AD46E4"/>
    <w:pPr>
      <w:spacing w:after="160"/>
    </w:pPr>
    <w:rPr>
      <w:b/>
      <w:bCs/>
    </w:rPr>
  </w:style>
  <w:style w:type="character" w:customStyle="1" w:styleId="CommentSubjectChar">
    <w:name w:val="Comment Subject Char"/>
    <w:basedOn w:val="CommentTextChar"/>
    <w:link w:val="CommentSubject"/>
    <w:uiPriority w:val="99"/>
    <w:semiHidden/>
    <w:rsid w:val="00AD46E4"/>
    <w:rPr>
      <w:b/>
      <w:bCs/>
      <w:sz w:val="20"/>
      <w:szCs w:val="20"/>
    </w:rPr>
  </w:style>
  <w:style w:type="table" w:styleId="LightShading-Accent1">
    <w:name w:val="Light Shading Accent 1"/>
    <w:basedOn w:val="TableNormal"/>
    <w:uiPriority w:val="60"/>
    <w:rsid w:val="00364EC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2Char">
    <w:name w:val="Heading 2 Char"/>
    <w:basedOn w:val="DefaultParagraphFont"/>
    <w:link w:val="Heading2"/>
    <w:uiPriority w:val="9"/>
    <w:rsid w:val="00CE4E8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E4E85"/>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unhideWhenUsed/>
    <w:rsid w:val="00782F2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82F29"/>
    <w:rPr>
      <w:rFonts w:ascii="Calibri" w:hAnsi="Calibri"/>
      <w:szCs w:val="21"/>
    </w:rPr>
  </w:style>
  <w:style w:type="paragraph" w:styleId="NoSpacing">
    <w:name w:val="No Spacing"/>
    <w:uiPriority w:val="1"/>
    <w:qFormat/>
    <w:rsid w:val="00B23E7C"/>
    <w:pPr>
      <w:spacing w:after="0" w:line="240" w:lineRule="auto"/>
    </w:pPr>
  </w:style>
  <w:style w:type="character" w:styleId="Hyperlink">
    <w:name w:val="Hyperlink"/>
    <w:basedOn w:val="DefaultParagraphFont"/>
    <w:uiPriority w:val="99"/>
    <w:unhideWhenUsed/>
    <w:rsid w:val="00665F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1059">
      <w:bodyDiv w:val="1"/>
      <w:marLeft w:val="0"/>
      <w:marRight w:val="0"/>
      <w:marTop w:val="0"/>
      <w:marBottom w:val="0"/>
      <w:divBdr>
        <w:top w:val="none" w:sz="0" w:space="0" w:color="auto"/>
        <w:left w:val="none" w:sz="0" w:space="0" w:color="auto"/>
        <w:bottom w:val="none" w:sz="0" w:space="0" w:color="auto"/>
        <w:right w:val="none" w:sz="0" w:space="0" w:color="auto"/>
      </w:divBdr>
    </w:div>
    <w:div w:id="251669737">
      <w:bodyDiv w:val="1"/>
      <w:marLeft w:val="0"/>
      <w:marRight w:val="0"/>
      <w:marTop w:val="0"/>
      <w:marBottom w:val="0"/>
      <w:divBdr>
        <w:top w:val="none" w:sz="0" w:space="0" w:color="auto"/>
        <w:left w:val="none" w:sz="0" w:space="0" w:color="auto"/>
        <w:bottom w:val="none" w:sz="0" w:space="0" w:color="auto"/>
        <w:right w:val="none" w:sz="0" w:space="0" w:color="auto"/>
      </w:divBdr>
    </w:div>
    <w:div w:id="322243372">
      <w:bodyDiv w:val="1"/>
      <w:marLeft w:val="0"/>
      <w:marRight w:val="0"/>
      <w:marTop w:val="0"/>
      <w:marBottom w:val="0"/>
      <w:divBdr>
        <w:top w:val="none" w:sz="0" w:space="0" w:color="auto"/>
        <w:left w:val="none" w:sz="0" w:space="0" w:color="auto"/>
        <w:bottom w:val="none" w:sz="0" w:space="0" w:color="auto"/>
        <w:right w:val="none" w:sz="0" w:space="0" w:color="auto"/>
      </w:divBdr>
    </w:div>
    <w:div w:id="698896069">
      <w:bodyDiv w:val="1"/>
      <w:marLeft w:val="0"/>
      <w:marRight w:val="0"/>
      <w:marTop w:val="0"/>
      <w:marBottom w:val="0"/>
      <w:divBdr>
        <w:top w:val="none" w:sz="0" w:space="0" w:color="auto"/>
        <w:left w:val="none" w:sz="0" w:space="0" w:color="auto"/>
        <w:bottom w:val="none" w:sz="0" w:space="0" w:color="auto"/>
        <w:right w:val="none" w:sz="0" w:space="0" w:color="auto"/>
      </w:divBdr>
    </w:div>
    <w:div w:id="884828452">
      <w:bodyDiv w:val="1"/>
      <w:marLeft w:val="0"/>
      <w:marRight w:val="0"/>
      <w:marTop w:val="0"/>
      <w:marBottom w:val="0"/>
      <w:divBdr>
        <w:top w:val="none" w:sz="0" w:space="0" w:color="auto"/>
        <w:left w:val="none" w:sz="0" w:space="0" w:color="auto"/>
        <w:bottom w:val="none" w:sz="0" w:space="0" w:color="auto"/>
        <w:right w:val="none" w:sz="0" w:space="0" w:color="auto"/>
      </w:divBdr>
    </w:div>
    <w:div w:id="936133008">
      <w:bodyDiv w:val="1"/>
      <w:marLeft w:val="0"/>
      <w:marRight w:val="0"/>
      <w:marTop w:val="0"/>
      <w:marBottom w:val="0"/>
      <w:divBdr>
        <w:top w:val="none" w:sz="0" w:space="0" w:color="auto"/>
        <w:left w:val="none" w:sz="0" w:space="0" w:color="auto"/>
        <w:bottom w:val="none" w:sz="0" w:space="0" w:color="auto"/>
        <w:right w:val="none" w:sz="0" w:space="0" w:color="auto"/>
      </w:divBdr>
    </w:div>
    <w:div w:id="1105148169">
      <w:bodyDiv w:val="1"/>
      <w:marLeft w:val="0"/>
      <w:marRight w:val="0"/>
      <w:marTop w:val="0"/>
      <w:marBottom w:val="0"/>
      <w:divBdr>
        <w:top w:val="none" w:sz="0" w:space="0" w:color="auto"/>
        <w:left w:val="none" w:sz="0" w:space="0" w:color="auto"/>
        <w:bottom w:val="none" w:sz="0" w:space="0" w:color="auto"/>
        <w:right w:val="none" w:sz="0" w:space="0" w:color="auto"/>
      </w:divBdr>
    </w:div>
    <w:div w:id="1129513223">
      <w:bodyDiv w:val="1"/>
      <w:marLeft w:val="0"/>
      <w:marRight w:val="0"/>
      <w:marTop w:val="0"/>
      <w:marBottom w:val="0"/>
      <w:divBdr>
        <w:top w:val="none" w:sz="0" w:space="0" w:color="auto"/>
        <w:left w:val="none" w:sz="0" w:space="0" w:color="auto"/>
        <w:bottom w:val="none" w:sz="0" w:space="0" w:color="auto"/>
        <w:right w:val="none" w:sz="0" w:space="0" w:color="auto"/>
      </w:divBdr>
    </w:div>
    <w:div w:id="1136335251">
      <w:bodyDiv w:val="1"/>
      <w:marLeft w:val="0"/>
      <w:marRight w:val="0"/>
      <w:marTop w:val="0"/>
      <w:marBottom w:val="0"/>
      <w:divBdr>
        <w:top w:val="none" w:sz="0" w:space="0" w:color="auto"/>
        <w:left w:val="none" w:sz="0" w:space="0" w:color="auto"/>
        <w:bottom w:val="none" w:sz="0" w:space="0" w:color="auto"/>
        <w:right w:val="none" w:sz="0" w:space="0" w:color="auto"/>
      </w:divBdr>
    </w:div>
    <w:div w:id="1233348918">
      <w:bodyDiv w:val="1"/>
      <w:marLeft w:val="0"/>
      <w:marRight w:val="0"/>
      <w:marTop w:val="0"/>
      <w:marBottom w:val="0"/>
      <w:divBdr>
        <w:top w:val="none" w:sz="0" w:space="0" w:color="auto"/>
        <w:left w:val="none" w:sz="0" w:space="0" w:color="auto"/>
        <w:bottom w:val="none" w:sz="0" w:space="0" w:color="auto"/>
        <w:right w:val="none" w:sz="0" w:space="0" w:color="auto"/>
      </w:divBdr>
    </w:div>
    <w:div w:id="1264344049">
      <w:bodyDiv w:val="1"/>
      <w:marLeft w:val="0"/>
      <w:marRight w:val="0"/>
      <w:marTop w:val="0"/>
      <w:marBottom w:val="0"/>
      <w:divBdr>
        <w:top w:val="none" w:sz="0" w:space="0" w:color="auto"/>
        <w:left w:val="none" w:sz="0" w:space="0" w:color="auto"/>
        <w:bottom w:val="none" w:sz="0" w:space="0" w:color="auto"/>
        <w:right w:val="none" w:sz="0" w:space="0" w:color="auto"/>
      </w:divBdr>
    </w:div>
    <w:div w:id="1423987046">
      <w:bodyDiv w:val="1"/>
      <w:marLeft w:val="0"/>
      <w:marRight w:val="0"/>
      <w:marTop w:val="0"/>
      <w:marBottom w:val="0"/>
      <w:divBdr>
        <w:top w:val="none" w:sz="0" w:space="0" w:color="auto"/>
        <w:left w:val="none" w:sz="0" w:space="0" w:color="auto"/>
        <w:bottom w:val="none" w:sz="0" w:space="0" w:color="auto"/>
        <w:right w:val="none" w:sz="0" w:space="0" w:color="auto"/>
      </w:divBdr>
    </w:div>
    <w:div w:id="1439984777">
      <w:bodyDiv w:val="1"/>
      <w:marLeft w:val="0"/>
      <w:marRight w:val="0"/>
      <w:marTop w:val="0"/>
      <w:marBottom w:val="0"/>
      <w:divBdr>
        <w:top w:val="none" w:sz="0" w:space="0" w:color="auto"/>
        <w:left w:val="none" w:sz="0" w:space="0" w:color="auto"/>
        <w:bottom w:val="none" w:sz="0" w:space="0" w:color="auto"/>
        <w:right w:val="none" w:sz="0" w:space="0" w:color="auto"/>
      </w:divBdr>
    </w:div>
    <w:div w:id="1510868494">
      <w:bodyDiv w:val="1"/>
      <w:marLeft w:val="0"/>
      <w:marRight w:val="0"/>
      <w:marTop w:val="0"/>
      <w:marBottom w:val="0"/>
      <w:divBdr>
        <w:top w:val="none" w:sz="0" w:space="0" w:color="auto"/>
        <w:left w:val="none" w:sz="0" w:space="0" w:color="auto"/>
        <w:bottom w:val="none" w:sz="0" w:space="0" w:color="auto"/>
        <w:right w:val="none" w:sz="0" w:space="0" w:color="auto"/>
      </w:divBdr>
    </w:div>
    <w:div w:id="1699239303">
      <w:bodyDiv w:val="1"/>
      <w:marLeft w:val="0"/>
      <w:marRight w:val="0"/>
      <w:marTop w:val="0"/>
      <w:marBottom w:val="0"/>
      <w:divBdr>
        <w:top w:val="none" w:sz="0" w:space="0" w:color="auto"/>
        <w:left w:val="none" w:sz="0" w:space="0" w:color="auto"/>
        <w:bottom w:val="none" w:sz="0" w:space="0" w:color="auto"/>
        <w:right w:val="none" w:sz="0" w:space="0" w:color="auto"/>
      </w:divBdr>
    </w:div>
    <w:div w:id="1726829471">
      <w:bodyDiv w:val="1"/>
      <w:marLeft w:val="0"/>
      <w:marRight w:val="0"/>
      <w:marTop w:val="0"/>
      <w:marBottom w:val="0"/>
      <w:divBdr>
        <w:top w:val="none" w:sz="0" w:space="0" w:color="auto"/>
        <w:left w:val="none" w:sz="0" w:space="0" w:color="auto"/>
        <w:bottom w:val="none" w:sz="0" w:space="0" w:color="auto"/>
        <w:right w:val="none" w:sz="0" w:space="0" w:color="auto"/>
      </w:divBdr>
    </w:div>
    <w:div w:id="1799687510">
      <w:bodyDiv w:val="1"/>
      <w:marLeft w:val="0"/>
      <w:marRight w:val="0"/>
      <w:marTop w:val="0"/>
      <w:marBottom w:val="0"/>
      <w:divBdr>
        <w:top w:val="none" w:sz="0" w:space="0" w:color="auto"/>
        <w:left w:val="none" w:sz="0" w:space="0" w:color="auto"/>
        <w:bottom w:val="none" w:sz="0" w:space="0" w:color="auto"/>
        <w:right w:val="none" w:sz="0" w:space="0" w:color="auto"/>
      </w:divBdr>
    </w:div>
    <w:div w:id="1816607313">
      <w:bodyDiv w:val="1"/>
      <w:marLeft w:val="0"/>
      <w:marRight w:val="0"/>
      <w:marTop w:val="0"/>
      <w:marBottom w:val="0"/>
      <w:divBdr>
        <w:top w:val="none" w:sz="0" w:space="0" w:color="auto"/>
        <w:left w:val="none" w:sz="0" w:space="0" w:color="auto"/>
        <w:bottom w:val="none" w:sz="0" w:space="0" w:color="auto"/>
        <w:right w:val="none" w:sz="0" w:space="0" w:color="auto"/>
      </w:divBdr>
    </w:div>
    <w:div w:id="20221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images/File/2023-Biujeti/23-12-2022/danartebi/17.FRS_2022_29.11.2022.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0C2E-9516-4B03-A67F-7B3F20F0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 Gulua</dc:creator>
  <cp:lastModifiedBy>Natia Gulua</cp:lastModifiedBy>
  <cp:revision>2</cp:revision>
  <cp:lastPrinted>2023-03-28T13:50:00Z</cp:lastPrinted>
  <dcterms:created xsi:type="dcterms:W3CDTF">2023-05-22T09:42:00Z</dcterms:created>
  <dcterms:modified xsi:type="dcterms:W3CDTF">2023-05-22T09:42:00Z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484f93b3da7b360b7324e3e133ad90eb3522f4c32586a2a2958e6065b9b37cab</vt:lpwstr>
  </property>
</Properties>
</file>